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903AE">
        <w:trPr>
          <w:trHeight w:val="826"/>
        </w:trPr>
        <w:tc>
          <w:tcPr>
            <w:tcW w:w="9889" w:type="dxa"/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BEVALLÁS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>
              <w:t>a helyi iparűzési adóról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>
              <w:t>állandó jellegű iparűzési tevékenység esetén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FŐLAP</w:t>
            </w:r>
          </w:p>
          <w:p w:rsidR="00E903AE" w:rsidRDefault="0049292F" w:rsidP="002D3507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t>2019</w:t>
            </w:r>
            <w:r w:rsidR="00E903AE">
              <w:t xml:space="preserve">. évben kezdődő adóévről </w:t>
            </w:r>
            <w:r w:rsidR="002D3507" w:rsidRPr="002D3507">
              <w:rPr>
                <w:b/>
                <w:i/>
                <w:u w:val="single"/>
              </w:rPr>
              <w:t>Ebes</w:t>
            </w:r>
            <w:r w:rsidR="00E903AE">
              <w:t xml:space="preserve"> illetékességi területén folytatott tevékenység utáni adókötelezettségről</w:t>
            </w:r>
          </w:p>
        </w:tc>
      </w:tr>
      <w:tr w:rsidR="00E903AE">
        <w:tc>
          <w:tcPr>
            <w:tcW w:w="9889" w:type="dxa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227"/>
        </w:trPr>
        <w:tc>
          <w:tcPr>
            <w:tcW w:w="9889" w:type="dxa"/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Bevallás jellege</w:t>
            </w:r>
          </w:p>
        </w:tc>
      </w:tr>
      <w:tr w:rsidR="00E903AE">
        <w:trPr>
          <w:trHeight w:val="419"/>
        </w:trPr>
        <w:tc>
          <w:tcPr>
            <w:tcW w:w="9889" w:type="dxa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b/>
                <w:bCs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Éves bevallás</w:t>
            </w:r>
          </w:p>
        </w:tc>
      </w:tr>
      <w:tr w:rsidR="00E903AE">
        <w:trPr>
          <w:trHeight w:val="285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b/>
                <w:bCs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Záró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Előtársasági bevallás</w:t>
            </w:r>
          </w:p>
        </w:tc>
      </w:tr>
      <w:tr w:rsidR="00E903AE">
        <w:trPr>
          <w:trHeight w:val="329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Naptári évtől eltérő üzleti évet választó adózó bevallása</w:t>
            </w:r>
          </w:p>
        </w:tc>
      </w:tr>
      <w:tr w:rsidR="00E903AE">
        <w:trPr>
          <w:trHeight w:val="338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Év közben kezdő adózó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Naptári évtől eltérő üzleti évet választó adózó áttérésének évéről készült évközi bevallása</w:t>
            </w:r>
          </w:p>
        </w:tc>
      </w:tr>
      <w:tr w:rsidR="00E903AE">
        <w:trPr>
          <w:trHeight w:val="801"/>
        </w:trPr>
        <w:tc>
          <w:tcPr>
            <w:tcW w:w="9889" w:type="dxa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 személyi jövedelemadóról szóló törvény szerinti mezőgazdasági őstermelő bevallása</w:t>
            </w:r>
          </w:p>
        </w:tc>
      </w:tr>
      <w:tr w:rsidR="00E903AE">
        <w:trPr>
          <w:trHeight w:val="855"/>
        </w:trPr>
        <w:tc>
          <w:tcPr>
            <w:tcW w:w="9889" w:type="dxa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41. § (8) bekezdés alapján, közös őstermelői igazolványban adószámmal rendelkező őstermelő (adózó), családi gazdálkodó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37. § (2) bekezdés </w:t>
            </w:r>
            <w:r>
              <w:rPr>
                <w:i/>
                <w:iCs/>
              </w:rPr>
              <w:t>a)</w:t>
            </w:r>
            <w: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 kisadózó vállalkozás tételes adójának alanyaként benyújtott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rPr>
                <w:color w:val="000000"/>
              </w:rPr>
              <w:t>Htv</w:t>
            </w:r>
            <w:proofErr w:type="spellEnd"/>
            <w:r>
              <w:rPr>
                <w:color w:val="000000"/>
              </w:rPr>
              <w:t>. 39/E. §-a szerint mentes adóalany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rPr>
                <w:color w:val="000000"/>
              </w:rPr>
              <w:t>Htv</w:t>
            </w:r>
            <w:proofErr w:type="spellEnd"/>
            <w:r>
              <w:rPr>
                <w:color w:val="000000"/>
              </w:rPr>
              <w:t>. 39/F. §-a szerint mentes adóalany bevallása</w:t>
            </w:r>
          </w:p>
          <w:p w:rsidR="00E903AE" w:rsidRDefault="00E903AE">
            <w:pPr>
              <w:ind w:left="1418"/>
              <w:rPr>
                <w:sz w:val="48"/>
                <w:szCs w:val="48"/>
              </w:rPr>
            </w:pPr>
            <w:r>
              <w:rPr>
                <w:i/>
                <w:iCs/>
                <w:sz w:val="20"/>
                <w:szCs w:val="20"/>
              </w:rPr>
              <w:t xml:space="preserve">(Az adóelőny de </w:t>
            </w:r>
            <w:proofErr w:type="spellStart"/>
            <w:r>
              <w:rPr>
                <w:i/>
                <w:iCs/>
                <w:sz w:val="20"/>
                <w:szCs w:val="20"/>
              </w:rPr>
              <w:t>minimis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támogatásnak minősül, melynek igénybevételéhez nyilatkozat kitöltése és az adóhatóság részére történő megküldése is szükséges!)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Önellenőrzés</w:t>
            </w:r>
          </w:p>
        </w:tc>
      </w:tr>
    </w:tbl>
    <w:p w:rsidR="00E903AE" w:rsidRDefault="00E903AE"/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3056"/>
        <w:gridCol w:w="6829"/>
        <w:gridCol w:w="38"/>
      </w:tblGrid>
      <w:tr w:rsidR="00E903AE" w:rsidTr="002D246F">
        <w:trPr>
          <w:gridAfter w:val="1"/>
          <w:wAfter w:w="38" w:type="dxa"/>
          <w:trHeight w:val="227"/>
        </w:trPr>
        <w:tc>
          <w:tcPr>
            <w:tcW w:w="309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903AE" w:rsidRDefault="00E903AE"/>
          <w:p w:rsidR="00E903AE" w:rsidRDefault="00E903AE"/>
        </w:tc>
      </w:tr>
      <w:tr w:rsidR="00E903AE" w:rsidTr="002D246F">
        <w:trPr>
          <w:gridAfter w:val="1"/>
          <w:wAfter w:w="38" w:type="dxa"/>
          <w:cantSplit/>
          <w:trHeight w:val="170"/>
        </w:trPr>
        <w:tc>
          <w:tcPr>
            <w:tcW w:w="3094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903AE" w:rsidRDefault="00E903AE">
            <w:pPr>
              <w:jc w:val="center"/>
            </w:pPr>
            <w:r>
              <w:rPr>
                <w:sz w:val="48"/>
                <w:szCs w:val="48"/>
              </w:rPr>
              <w:t xml:space="preserve">□□□□ </w:t>
            </w:r>
            <w:r>
              <w:t>év</w:t>
            </w:r>
            <w:r>
              <w:rPr>
                <w:sz w:val="48"/>
                <w:szCs w:val="48"/>
              </w:rPr>
              <w:t xml:space="preserve"> □□ </w:t>
            </w:r>
            <w:r>
              <w:t>hó</w:t>
            </w:r>
            <w:r>
              <w:rPr>
                <w:sz w:val="48"/>
                <w:szCs w:val="48"/>
              </w:rPr>
              <w:t xml:space="preserve"> □□ </w:t>
            </w:r>
            <w:r>
              <w:t>naptól-</w:t>
            </w:r>
          </w:p>
        </w:tc>
      </w:tr>
      <w:tr w:rsidR="00E903AE" w:rsidTr="002D246F">
        <w:trPr>
          <w:gridAfter w:val="1"/>
          <w:wAfter w:w="38" w:type="dxa"/>
          <w:cantSplit/>
          <w:trHeight w:val="170"/>
        </w:trPr>
        <w:tc>
          <w:tcPr>
            <w:tcW w:w="3094" w:type="dxa"/>
            <w:gridSpan w:val="2"/>
            <w:vMerge/>
            <w:tcBorders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□□□□ </w:t>
            </w:r>
            <w:r>
              <w:t>év</w:t>
            </w:r>
            <w:r>
              <w:rPr>
                <w:sz w:val="48"/>
                <w:szCs w:val="48"/>
              </w:rPr>
              <w:t xml:space="preserve"> □□ </w:t>
            </w:r>
            <w:r>
              <w:t>hó</w:t>
            </w:r>
            <w:r>
              <w:rPr>
                <w:sz w:val="48"/>
                <w:szCs w:val="48"/>
              </w:rPr>
              <w:t xml:space="preserve"> □□ </w:t>
            </w:r>
            <w:r>
              <w:t>napig.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579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Záró bevallás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75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Felszámolás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Végelszámolás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Kényszertörlés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Adószám törlése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Átalakulás, egyesülés, szétválás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tevékenység saját elhatározásból történő megszüntetése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Hatósági megszüntetés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Előtársaságként működő társaság cégbejegyzés iránti kérelemnek elutasítása vagy a kérelem bejegyzés előtti visszavonása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Székhely áthelyezése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Telephely megszüntetése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Egyszerűsített vállalkozói adóalanyiság megszűnése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Egyéni vállalkozói tevékenység szüneteltetése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463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kisadózó vállalkozások tételes adójában az adóalanyiság év közben való keletkezése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24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kisvállalati adóban az adóalanyiság megszűnése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települési önkormányzat adórendeletének hatályon kívül helyezése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Egyéb: ________________</w:t>
            </w:r>
          </w:p>
        </w:tc>
      </w:tr>
    </w:tbl>
    <w:p w:rsidR="00E903AE" w:rsidRDefault="00E903AE">
      <w:pPr>
        <w:rPr>
          <w:b/>
          <w:bCs/>
        </w:rPr>
      </w:pP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E903AE" w:rsidTr="002D246F">
        <w:trPr>
          <w:trHeight w:val="1114"/>
        </w:trPr>
        <w:tc>
          <w:tcPr>
            <w:tcW w:w="9822" w:type="dxa"/>
            <w:tcBorders>
              <w:bottom w:val="single" w:sz="4" w:space="0" w:color="000000"/>
            </w:tcBorders>
          </w:tcPr>
          <w:p w:rsidR="00E903AE" w:rsidRDefault="00E903AE">
            <w:pPr>
              <w:ind w:left="1080"/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 bevallásban szereplő betétlapok</w:t>
            </w:r>
          </w:p>
          <w:p w:rsidR="00E903AE" w:rsidRDefault="00E903AE">
            <w:pPr>
              <w:ind w:left="1080"/>
              <w:jc w:val="center"/>
            </w:pPr>
            <w:r>
              <w:t xml:space="preserve">A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B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C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D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E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F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G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H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I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J </w:t>
            </w:r>
            <w:r>
              <w:rPr>
                <w:sz w:val="48"/>
                <w:szCs w:val="48"/>
              </w:rPr>
              <w:t>□</w:t>
            </w:r>
          </w:p>
        </w:tc>
      </w:tr>
    </w:tbl>
    <w:p w:rsidR="00E903AE" w:rsidRDefault="00E903AE"/>
    <w:p w:rsidR="00E903AE" w:rsidRDefault="00E903AE"/>
    <w:p w:rsidR="00E903AE" w:rsidRDefault="00E903AE"/>
    <w:p w:rsidR="002D246F" w:rsidRDefault="002D246F"/>
    <w:p w:rsidR="002D246F" w:rsidRDefault="002D246F"/>
    <w:p w:rsidR="002D246F" w:rsidRDefault="002D246F"/>
    <w:p w:rsidR="00E903AE" w:rsidRDefault="00E903AE"/>
    <w:p w:rsidR="00E903AE" w:rsidRDefault="00E903AE"/>
    <w:p w:rsidR="00E903AE" w:rsidRDefault="00E903AE"/>
    <w:p w:rsidR="00E903AE" w:rsidRDefault="00E903AE"/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03AE">
        <w:tc>
          <w:tcPr>
            <w:tcW w:w="9923" w:type="dxa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Adóalany</w:t>
            </w:r>
          </w:p>
        </w:tc>
      </w:tr>
      <w:tr w:rsidR="00E903AE">
        <w:trPr>
          <w:trHeight w:val="3798"/>
        </w:trPr>
        <w:tc>
          <w:tcPr>
            <w:tcW w:w="9923" w:type="dxa"/>
            <w:vAlign w:val="center"/>
          </w:tcPr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Adóalany neve (cégneve</w:t>
            </w:r>
            <w:proofErr w:type="gramStart"/>
            <w:r>
              <w:t>):  _</w:t>
            </w:r>
            <w:proofErr w:type="gramEnd"/>
            <w:r>
              <w:t>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Születési helye: ___________________________________________________város/község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Születési ideje: ________ év ____ hó ___</w:t>
            </w:r>
            <w:proofErr w:type="gramStart"/>
            <w:r>
              <w:t>_  nap</w:t>
            </w:r>
            <w:proofErr w:type="gramEnd"/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Anyja születési családi és utóneve: 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 xml:space="preserve">Adóazonosító jele: </w:t>
            </w:r>
            <w:r>
              <w:rPr>
                <w:sz w:val="52"/>
                <w:szCs w:val="52"/>
              </w:rPr>
              <w:t>□□□□□□□□□□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Adószáma: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52"/>
                <w:szCs w:val="52"/>
              </w:rPr>
              <w:t>□□□□□□□□-□-□□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Székhelye, lakóhelye: ______________________________________________város/község</w:t>
            </w:r>
          </w:p>
          <w:p w:rsidR="00E903AE" w:rsidRDefault="00E903AE">
            <w:pPr>
              <w:spacing w:before="40" w:after="40"/>
              <w:ind w:left="743"/>
            </w:pPr>
            <w:r>
              <w:t xml:space="preserve">______________ </w:t>
            </w:r>
            <w:proofErr w:type="gramStart"/>
            <w:r>
              <w:t>közterület  _</w:t>
            </w:r>
            <w:proofErr w:type="gramEnd"/>
            <w:r>
              <w:t xml:space="preserve">___ </w:t>
            </w:r>
            <w:proofErr w:type="spellStart"/>
            <w:r>
              <w:t>közterület</w:t>
            </w:r>
            <w:proofErr w:type="spellEnd"/>
            <w:r>
              <w:t xml:space="preserve"> jelleg ___ </w:t>
            </w:r>
            <w:proofErr w:type="spellStart"/>
            <w:r>
              <w:t>hsz</w:t>
            </w:r>
            <w:proofErr w:type="spellEnd"/>
            <w:r>
              <w:t xml:space="preserve">. ___ ép. ___ </w:t>
            </w:r>
            <w:proofErr w:type="spellStart"/>
            <w:r>
              <w:t>lh</w:t>
            </w:r>
            <w:proofErr w:type="spellEnd"/>
            <w:r>
              <w:t>. ___em. ___ajtó.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 xml:space="preserve">Az adóbevallást kitöltő neve </w:t>
            </w:r>
            <w:proofErr w:type="gramStart"/>
            <w:r>
              <w:t>(,ha</w:t>
            </w:r>
            <w:proofErr w:type="gramEnd"/>
            <w:r>
              <w:t xml:space="preserve"> az nem azonos az adóalannyal): __________________________________________________________________________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Telefonszáma: ______________________________________________________________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 xml:space="preserve">E-mail </w:t>
            </w:r>
            <w:proofErr w:type="gramStart"/>
            <w:r>
              <w:t xml:space="preserve">címe:   </w:t>
            </w:r>
            <w:proofErr w:type="gramEnd"/>
            <w:r>
              <w:t xml:space="preserve"> ______________________________________________________________</w:t>
            </w:r>
          </w:p>
        </w:tc>
      </w:tr>
    </w:tbl>
    <w:p w:rsidR="00E903AE" w:rsidRDefault="00E903AE">
      <w:pPr>
        <w:ind w:left="1080"/>
        <w:rPr>
          <w:b/>
          <w:bCs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03AE">
        <w:tc>
          <w:tcPr>
            <w:tcW w:w="9923" w:type="dxa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Az adó alapjának egyszerűsített meghatározási módját választók nyilatkozata </w:t>
            </w:r>
          </w:p>
        </w:tc>
      </w:tr>
      <w:tr w:rsidR="00E903AE">
        <w:trPr>
          <w:trHeight w:val="1975"/>
        </w:trPr>
        <w:tc>
          <w:tcPr>
            <w:tcW w:w="9923" w:type="dxa"/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ind w:left="176" w:right="-425"/>
            </w:pPr>
            <w:r>
              <w:t>Az adóévre az adóalap egyszerűsített megállapítási módját választom: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 személy jövedelemadóról szóló törvény szerinti átalányadózóként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47"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az egyszerűsített vállalkozói adó alanyaként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47"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8 millió forintot meg nem haladó nettó </w:t>
            </w:r>
            <w:proofErr w:type="spellStart"/>
            <w:r>
              <w:t>árbevételű</w:t>
            </w:r>
            <w:proofErr w:type="spellEnd"/>
            <w:r>
              <w:t xml:space="preserve"> adóalanyként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 kisvállalati adó hatálya alá tartozó adóalanyként</w:t>
            </w:r>
          </w:p>
          <w:p w:rsidR="00E903AE" w:rsidRDefault="00E903AE"/>
        </w:tc>
      </w:tr>
    </w:tbl>
    <w:p w:rsidR="00E903AE" w:rsidRDefault="00E903AE">
      <w:pPr>
        <w:ind w:left="1080"/>
        <w:rPr>
          <w:b/>
          <w:bCs/>
        </w:rPr>
      </w:pPr>
    </w:p>
    <w:tbl>
      <w:tblPr>
        <w:tblW w:w="5456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917"/>
        <w:gridCol w:w="4961"/>
      </w:tblGrid>
      <w:tr w:rsidR="00E903AE" w:rsidTr="00346786">
        <w:tc>
          <w:tcPr>
            <w:tcW w:w="2489" w:type="pc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Az adó</w:t>
            </w: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(a 29. sor kivételével forintban)</w:t>
            </w:r>
          </w:p>
          <w:p w:rsidR="00E903AE" w:rsidRDefault="00E903AE">
            <w:pPr>
              <w:rPr>
                <w:b/>
                <w:bCs/>
              </w:rPr>
            </w:pP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szerinti </w:t>
            </w:r>
            <w:r>
              <w:sym w:font="Symbol" w:char="F02D"/>
            </w:r>
            <w:r>
              <w:t xml:space="preserve"> vállalkozási szintű </w:t>
            </w:r>
            <w:r>
              <w:sym w:font="Symbol" w:char="F02D"/>
            </w:r>
            <w:r>
              <w:t xml:space="preserve"> éves nettó árbevétel (részletezése külön lapon található):</w:t>
            </w:r>
          </w:p>
        </w:tc>
        <w:tc>
          <w:tcPr>
            <w:tcW w:w="25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  <w:spacing w:before="120"/>
            </w:pPr>
            <w:r>
              <w:t xml:space="preserve">Eladott áruk beszerzési értékének, közvetített szolgáltatások értékének figyelembe vehető (a </w:t>
            </w:r>
            <w:proofErr w:type="spellStart"/>
            <w:r>
              <w:t>Htv</w:t>
            </w:r>
            <w:proofErr w:type="spellEnd"/>
            <w:r>
              <w:t>. 39. § (6) bekezdésének hatálya alá nem tartozó adóalany esetén: „E” lap II/7. sor) együttes összege: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43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alvállalkozói teljesítések értéke: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Anyagköltség: 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519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Alapkutatás, alkalmazott kutatás, kísérleti </w:t>
            </w:r>
            <w:r>
              <w:br/>
            </w:r>
            <w:r>
              <w:lastRenderedPageBreak/>
              <w:t>fejlesztés adóévben elszámolt közvetlen költsége: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□ □□□ □□□ □□□ □□□</w:t>
            </w:r>
          </w:p>
        </w:tc>
      </w:tr>
      <w:tr w:rsidR="00E903AE" w:rsidTr="00346786">
        <w:trPr>
          <w:trHeight w:val="1089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adóalap </w:t>
            </w:r>
            <w:r>
              <w:br/>
              <w:t xml:space="preserve">[(1-(2+3+4+5) vagy a </w:t>
            </w:r>
            <w:proofErr w:type="spellStart"/>
            <w:r>
              <w:t>Htv</w:t>
            </w:r>
            <w:proofErr w:type="spellEnd"/>
            <w:r>
              <w:t>. 39. § (6), (10) bekezdés alkalmazása esetén: „E” jelű lap III/11. sor]: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55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Szokásos piaci árra való kiegészítés miatti korrekció (</w:t>
            </w:r>
            <w:proofErr w:type="gramStart"/>
            <w:r>
              <w:t>+,-</w:t>
            </w:r>
            <w:proofErr w:type="gramEnd"/>
            <w:r>
              <w:t>)*: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84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IFRS-t alkalmazó vállalkozóknál az I jelű betétlap VII. pontjának 1. pontja vagy VIII. pontjának 1. pontja szerinti áttérési különbözet összege (</w:t>
            </w:r>
            <w:proofErr w:type="gramStart"/>
            <w:r>
              <w:t>+,-</w:t>
            </w:r>
            <w:proofErr w:type="gramEnd"/>
            <w:r>
              <w:t>)*</w:t>
            </w:r>
          </w:p>
          <w:p w:rsidR="00E903AE" w:rsidRDefault="00E903AE">
            <w:pPr>
              <w:ind w:left="1080"/>
            </w:pPr>
            <w:r>
              <w:rPr>
                <w:i/>
                <w:iCs/>
              </w:rPr>
              <w:t>[részletezése az I jelű betétlapon található]: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447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Az IFRS-t alkalmazó vállalkozónál számviteli önellenőrzési különbözet  </w:t>
            </w:r>
            <w:proofErr w:type="gramStart"/>
            <w:r>
              <w:t xml:space="preserve">   (</w:t>
            </w:r>
            <w:proofErr w:type="gramEnd"/>
            <w:r>
              <w:t>+,-)*: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foglalkoztatás növeléséhez kapcsolódó </w:t>
            </w:r>
            <w:r>
              <w:br/>
              <w:t xml:space="preserve">adóalap-mentesség: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57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foglalkoztatás csökkentéséhez </w:t>
            </w:r>
            <w:r>
              <w:br/>
              <w:t>kapcsolódó adóalap-növekmény: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Korrigált </w:t>
            </w:r>
            <w:proofErr w:type="spellStart"/>
            <w:r>
              <w:t>Htv</w:t>
            </w:r>
            <w:proofErr w:type="spellEnd"/>
            <w:r>
              <w:t xml:space="preserve">. szerinti - vállalkozási szintű - adóalap </w:t>
            </w:r>
            <w:r>
              <w:rPr>
                <w:i/>
                <w:iCs/>
              </w:rPr>
              <w:t>[6+7+8+9-10+11]: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Az önkormányzat illetékességi területére </w:t>
            </w:r>
            <w:r>
              <w:br/>
              <w:t xml:space="preserve">jutó </w:t>
            </w:r>
            <w:r>
              <w:sym w:font="Symbol" w:char="F02D"/>
            </w:r>
            <w:r>
              <w:t xml:space="preserve"> a 12. sorban lévő adóalap megosztása szerinti </w:t>
            </w:r>
            <w:r>
              <w:sym w:font="Symbol" w:char="F02D"/>
            </w:r>
            <w:r>
              <w:t xml:space="preserve"> települési szintű adóalap: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49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Pr="002D246F" w:rsidRDefault="00E903AE" w:rsidP="008748E5">
            <w:pPr>
              <w:numPr>
                <w:ilvl w:val="0"/>
                <w:numId w:val="41"/>
              </w:numPr>
              <w:rPr>
                <w:i/>
                <w:iCs/>
              </w:rPr>
            </w:pPr>
            <w:r>
              <w:t>Adómentes adóalap önkormányzati döntés alapján [</w:t>
            </w:r>
            <w:proofErr w:type="spellStart"/>
            <w:r>
              <w:t>Htv</w:t>
            </w:r>
            <w:proofErr w:type="spellEnd"/>
            <w:r>
              <w:t>. 39/C. § (2) bekezdése szerint]:</w:t>
            </w:r>
          </w:p>
          <w:p w:rsidR="002D246F" w:rsidRDefault="002D246F" w:rsidP="002D246F">
            <w:pPr>
              <w:ind w:left="1080"/>
              <w:rPr>
                <w:i/>
                <w:iCs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04138B" w:rsidRDefault="0004138B" w:rsidP="0004138B">
            <w:pPr>
              <w:ind w:left="360"/>
              <w:jc w:val="center"/>
              <w:rPr>
                <w:b/>
                <w:bCs/>
                <w:sz w:val="48"/>
                <w:szCs w:val="48"/>
              </w:rPr>
            </w:pPr>
            <w:r w:rsidRPr="0004138B">
              <w:rPr>
                <w:b/>
                <w:bCs/>
                <w:sz w:val="48"/>
                <w:szCs w:val="48"/>
              </w:rPr>
              <w:t>--- --- --- --- --- ---</w:t>
            </w:r>
            <w:r>
              <w:rPr>
                <w:b/>
                <w:bCs/>
                <w:sz w:val="48"/>
                <w:szCs w:val="48"/>
              </w:rPr>
              <w:t xml:space="preserve"> ---</w:t>
            </w:r>
          </w:p>
        </w:tc>
      </w:tr>
      <w:tr w:rsidR="00E903AE" w:rsidTr="00346786">
        <w:trPr>
          <w:trHeight w:val="525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6F" w:rsidRPr="002D246F" w:rsidRDefault="00E903AE" w:rsidP="002D246F">
            <w:pPr>
              <w:pStyle w:val="Cmsor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Adómentes adóalap önkormányzati </w:t>
            </w:r>
            <w:r w:rsidR="002D246F"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903AE" w:rsidRPr="002D246F" w:rsidRDefault="00E903AE" w:rsidP="002D246F">
            <w:pPr>
              <w:pStyle w:val="Cmsor8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döntés alapján [</w:t>
            </w:r>
            <w:proofErr w:type="spellStart"/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. 39/C. § (4) bekezdése szerint]:</w:t>
            </w:r>
            <w:r w:rsidR="0004138B"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 (500.000 Ft-ig mentes)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önkormányzati rendelet szerinti adóköteles adóalap (13-14-15):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Adóalapra jutó iparűzési adó összege </w:t>
            </w:r>
            <w:r>
              <w:br/>
              <w:t xml:space="preserve">(16. sor x </w:t>
            </w:r>
            <w:r w:rsidR="00CC7D76" w:rsidRPr="00B02EA6">
              <w:rPr>
                <w:b/>
                <w:u w:val="single"/>
              </w:rPr>
              <w:t>1,8</w:t>
            </w:r>
            <w:r w:rsidRPr="00B02EA6">
              <w:rPr>
                <w:b/>
                <w:u w:val="single"/>
              </w:rPr>
              <w:t xml:space="preserve"> %</w:t>
            </w:r>
            <w:r>
              <w:t>):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Önkormányzati döntés szerinti adókedvezmény </w:t>
            </w:r>
            <w:r>
              <w:br/>
              <w:t>[</w:t>
            </w:r>
            <w:proofErr w:type="spellStart"/>
            <w:r>
              <w:t>Htv</w:t>
            </w:r>
            <w:proofErr w:type="spellEnd"/>
            <w:r>
              <w:t>. 39/C. § (2) bekezdése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Önkormányzati döntés szerinti adókedvezmény [</w:t>
            </w:r>
            <w:proofErr w:type="spellStart"/>
            <w:r>
              <w:t>Htv</w:t>
            </w:r>
            <w:proofErr w:type="spellEnd"/>
            <w:r>
              <w:t>. 39/C. § (4) bekezdése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91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lastRenderedPageBreak/>
              <w:t>Az ideiglenes jellegű iparűzési tevékenység után az adóévben megfizetett és az önkormányzatnál levonható adóátalány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a)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belföldi útdíj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</w:t>
            </w:r>
          </w:p>
          <w:p w:rsidR="00E903AE" w:rsidRDefault="00E903AE">
            <w:pPr>
              <w:ind w:left="1080"/>
            </w:pPr>
            <w:r>
              <w:t>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b)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külföldi útdíj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b)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úthasználati 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 xml:space="preserve">b) </w:t>
            </w:r>
            <w:r>
              <w:t>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1373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önkormányzati döntés szerint</w:t>
            </w:r>
            <w:r>
              <w:br/>
              <w:t>a vállalkozó az adóévben elszámolt</w:t>
            </w:r>
            <w:r>
              <w:br/>
              <w:t>alapkutatás, alkalmazott kutatás vagy kísérleti fejlesztés közvetlen költsége 10%-</w:t>
            </w:r>
            <w:proofErr w:type="spellStart"/>
            <w:r>
              <w:t>ának</w:t>
            </w:r>
            <w:proofErr w:type="spellEnd"/>
            <w:r>
              <w:t xml:space="preserve"> településre jutó hányada</w:t>
            </w:r>
            <w:r>
              <w:br/>
              <w:t>[</w:t>
            </w:r>
            <w:proofErr w:type="spellStart"/>
            <w:r>
              <w:t>Htv</w:t>
            </w:r>
            <w:proofErr w:type="spellEnd"/>
            <w:r>
              <w:t>. 40/A. § (3) bekezdése]: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268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iparűzési adófizetési kötelezettség</w:t>
            </w:r>
          </w:p>
          <w:p w:rsidR="00E903AE" w:rsidRDefault="00E903AE">
            <w:pPr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[17-(18+19+20+21+22+23+24)]: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önkormányzatra jutó adóátalány összege: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51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Külföldön létesített telephelyre jutó adóalap: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243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adóévben megfizetett útdíj 7,5%-a: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57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foglalkoztatás növeléséhez kapcsolódó létszámnövekmény (</w:t>
            </w:r>
            <w:proofErr w:type="spellStart"/>
            <w:r>
              <w:t>főben</w:t>
            </w:r>
            <w:proofErr w:type="spellEnd"/>
            <w:r>
              <w:t xml:space="preserve"> kifejezett adat):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346786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903AE" w:rsidRDefault="00E903AE">
            <w:pPr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</w:tbl>
    <w:p w:rsidR="00E903AE" w:rsidRDefault="00E903AE">
      <w:pPr>
        <w:rPr>
          <w:b/>
          <w:bCs/>
        </w:rPr>
      </w:pPr>
    </w:p>
    <w:p w:rsidR="000E5096" w:rsidRDefault="000E5096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0E5096" w:rsidRDefault="000E5096">
      <w:pPr>
        <w:rPr>
          <w:b/>
          <w:bCs/>
        </w:rPr>
      </w:pPr>
    </w:p>
    <w:p w:rsidR="000E5096" w:rsidRDefault="000E5096">
      <w:pPr>
        <w:rPr>
          <w:b/>
          <w:bCs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5412"/>
      </w:tblGrid>
      <w:tr w:rsidR="00E903AE" w:rsidTr="00346786">
        <w:trPr>
          <w:trHeight w:val="379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Adóelőlegek bevallása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346786"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</w:pPr>
            <w:r>
              <w:t>Előlegfizetési időszak:</w:t>
            </w:r>
          </w:p>
        </w:tc>
        <w:tc>
          <w:tcPr>
            <w:tcW w:w="54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903AE" w:rsidRDefault="00E903AE"/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49292F">
            <w:pPr>
              <w:jc w:val="center"/>
            </w:pPr>
            <w:r>
              <w:rPr>
                <w:b/>
                <w:sz w:val="36"/>
                <w:szCs w:val="36"/>
              </w:rPr>
              <w:t>2020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07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01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naptól-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3C2E2E" w:rsidP="003C2E2E">
            <w:r>
              <w:rPr>
                <w:b/>
                <w:sz w:val="36"/>
                <w:szCs w:val="36"/>
              </w:rPr>
              <w:t xml:space="preserve">           </w:t>
            </w:r>
            <w:bookmarkStart w:id="0" w:name="_GoBack"/>
            <w:r w:rsidR="0049292F">
              <w:rPr>
                <w:b/>
                <w:sz w:val="36"/>
                <w:szCs w:val="36"/>
              </w:rPr>
              <w:t>2021</w:t>
            </w:r>
            <w:bookmarkEnd w:id="0"/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06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3</w:t>
            </w:r>
            <w:r w:rsidR="002D3507" w:rsidRPr="00B02EA6">
              <w:rPr>
                <w:b/>
                <w:sz w:val="36"/>
                <w:szCs w:val="48"/>
              </w:rPr>
              <w:t>0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napig.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</w:pPr>
            <w:r>
              <w:t>Első előlegrészlet. Esedékesség: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B02EA6" w:rsidP="00B02EA6">
            <w:pPr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="0049292F">
              <w:rPr>
                <w:b/>
                <w:sz w:val="36"/>
                <w:szCs w:val="36"/>
              </w:rPr>
              <w:t>2020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09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1</w:t>
            </w:r>
            <w:r w:rsidR="0065152E">
              <w:rPr>
                <w:b/>
                <w:sz w:val="36"/>
                <w:szCs w:val="36"/>
              </w:rPr>
              <w:t>7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nap.</w:t>
            </w:r>
          </w:p>
        </w:tc>
      </w:tr>
      <w:tr w:rsidR="00E903AE" w:rsidTr="00346786">
        <w:trPr>
          <w:trHeight w:val="435"/>
        </w:trPr>
        <w:tc>
          <w:tcPr>
            <w:tcW w:w="4359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5412" w:type="dxa"/>
            <w:tcBorders>
              <w:top w:val="nil"/>
              <w:left w:val="nil"/>
              <w:right w:val="single" w:sz="8" w:space="0" w:color="000000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 □□□ □□□ □□□ □□□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  <w:jc w:val="center"/>
            </w:pPr>
            <w:r>
              <w:t>Második előlegrészlet. Esedékesség: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49292F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2021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03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1</w:t>
            </w:r>
            <w:r w:rsidR="0065152E">
              <w:rPr>
                <w:b/>
                <w:sz w:val="36"/>
                <w:szCs w:val="36"/>
              </w:rPr>
              <w:t>8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nap.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 □□□ □□□ □□□ □□□</w:t>
            </w:r>
          </w:p>
        </w:tc>
      </w:tr>
    </w:tbl>
    <w:p w:rsidR="00E903AE" w:rsidRDefault="00E903AE">
      <w:pPr>
        <w:rPr>
          <w:b/>
          <w:bCs/>
        </w:rPr>
      </w:pPr>
    </w:p>
    <w:tbl>
      <w:tblPr>
        <w:tblW w:w="9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808"/>
        <w:gridCol w:w="1376"/>
        <w:gridCol w:w="813"/>
        <w:gridCol w:w="856"/>
        <w:gridCol w:w="3998"/>
      </w:tblGrid>
      <w:tr w:rsidR="00E903AE" w:rsidTr="00346786">
        <w:trPr>
          <w:trHeight w:val="720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6"/>
              </w:numPr>
              <w:rPr>
                <w:b/>
                <w:bCs/>
              </w:rPr>
            </w:pPr>
            <w:r>
              <w:rPr>
                <w:b/>
                <w:bCs/>
              </w:rPr>
              <w:t>Felelősségem tudatában kijelentem, hogy a bevallásban szereplő adatok a valóságnak megfelelnek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346786">
        <w:trPr>
          <w:trHeight w:val="555"/>
        </w:trPr>
        <w:tc>
          <w:tcPr>
            <w:tcW w:w="9851" w:type="dxa"/>
            <w:gridSpan w:val="5"/>
            <w:tcBorders>
              <w:top w:val="single" w:sz="8" w:space="0" w:color="000000"/>
              <w:bottom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346786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346786">
        <w:trPr>
          <w:trHeight w:val="585"/>
        </w:trPr>
        <w:tc>
          <w:tcPr>
            <w:tcW w:w="2808" w:type="dxa"/>
            <w:tcBorders>
              <w:top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  <w:tr w:rsidR="00E903AE" w:rsidTr="00346786">
        <w:trPr>
          <w:trHeight w:val="1305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903AE" w:rsidRDefault="00E903AE" w:rsidP="00346786">
            <w:pPr>
              <w:ind w:left="737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</w:tcBorders>
            <w:vAlign w:val="center"/>
          </w:tcPr>
          <w:p w:rsidR="00E903AE" w:rsidRDefault="00E903A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Ha az adóbevallást az adózó helyett annak képviselője (meghatalmazottja) nyújtja be, jelölje X-szel*: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Az önkormányzati adóhatósághoz bejelentett, a bevallás aláírására jogosult állandó meghatalmazott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Meghatalmazott (meghatalmazás csatolva)</w:t>
            </w:r>
          </w:p>
          <w:p w:rsidR="00E903AE" w:rsidRDefault="00E903AE">
            <w:pPr>
              <w:rPr>
                <w:color w:val="00000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>
              <w:rPr>
                <w:color w:val="000000"/>
              </w:rPr>
              <w:t>adóhatósághoz bejelentett pénzügyi képviselő</w:t>
            </w:r>
          </w:p>
          <w:p w:rsidR="00E903AE" w:rsidRDefault="00E903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*A NAV útján benyújtott bevallás esetén nem kell jelölni.</w:t>
            </w:r>
          </w:p>
        </w:tc>
      </w:tr>
      <w:tr w:rsidR="00E903AE" w:rsidTr="00346786">
        <w:trPr>
          <w:trHeight w:val="33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 xml:space="preserve">Jelen adóbevallást </w:t>
            </w:r>
            <w:proofErr w:type="spellStart"/>
            <w:r>
              <w:t>ellenjegyzem</w:t>
            </w:r>
            <w:proofErr w:type="spellEnd"/>
            <w:r>
              <w:t>: 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Adótanácsadó, adószakértő neve: 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Adóazonosító száma: _____________________________________________________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Bizonyítvány, igazolvány száma: ____________________________________________</w:t>
            </w:r>
          </w:p>
        </w:tc>
      </w:tr>
    </w:tbl>
    <w:p w:rsidR="00E903AE" w:rsidRDefault="00E903AE">
      <w:pPr>
        <w:jc w:val="right"/>
      </w:pPr>
    </w:p>
    <w:p w:rsidR="00E903AE" w:rsidRDefault="00E903AE" w:rsidP="000E5096">
      <w:r>
        <w:br w:type="page"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1376"/>
        <w:gridCol w:w="813"/>
        <w:gridCol w:w="318"/>
        <w:gridCol w:w="541"/>
        <w:gridCol w:w="3995"/>
      </w:tblGrid>
      <w:tr w:rsidR="00E903A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lastRenderedPageBreak/>
              <w:br w:type="page"/>
            </w:r>
            <w:r>
              <w:rPr>
                <w:b/>
                <w:bCs/>
                <w:caps/>
              </w:rPr>
              <w:t>„A” jelű betétlap</w:t>
            </w:r>
          </w:p>
          <w:p w:rsidR="00E903AE" w:rsidRDefault="00E903AE">
            <w:pPr>
              <w:jc w:val="center"/>
            </w:pPr>
          </w:p>
          <w:p w:rsidR="00E903AE" w:rsidRDefault="0049292F">
            <w:pPr>
              <w:jc w:val="center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E903A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r>
              <w:t>Adóalany neve (cégneve): ____________________________________________________</w:t>
            </w:r>
          </w:p>
        </w:tc>
      </w:tr>
      <w:tr w:rsidR="00E903A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r>
              <w:t xml:space="preserve">Adóazonosító jele: </w:t>
            </w:r>
            <w:r>
              <w:rPr>
                <w:sz w:val="48"/>
                <w:szCs w:val="48"/>
              </w:rPr>
              <w:t>□□□□□□□□□□</w:t>
            </w:r>
          </w:p>
        </w:tc>
      </w:tr>
      <w:tr w:rsidR="00E903A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Nettó árbevétel</w:t>
            </w:r>
          </w:p>
          <w:p w:rsidR="00E903AE" w:rsidRDefault="00E903A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  <w:rPr>
                <w:i/>
                <w:iCs/>
              </w:r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éves nettó árbevétel </w:t>
            </w:r>
            <w:r>
              <w:rPr>
                <w:i/>
                <w:iCs/>
              </w:rPr>
              <w:t>[2-3-4-5-6-7]: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  <w:spacing w:before="120"/>
            </w:pPr>
            <w:r>
              <w:t>A számviteli törvény, az 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Jogdíjbevétel: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495"/>
        </w:trPr>
        <w:tc>
          <w:tcPr>
            <w:tcW w:w="5353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39"/>
        </w:trPr>
        <w:tc>
          <w:tcPr>
            <w:tcW w:w="5353" w:type="dxa"/>
            <w:gridSpan w:val="4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Az 5. sorból a regisztrációs adó:</w:t>
            </w:r>
          </w:p>
        </w:tc>
        <w:tc>
          <w:tcPr>
            <w:tcW w:w="4536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91"/>
        </w:trPr>
        <w:tc>
          <w:tcPr>
            <w:tcW w:w="5353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Az 5. sorból 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25"/>
        </w:trPr>
        <w:tc>
          <w:tcPr>
            <w:tcW w:w="5353" w:type="dxa"/>
            <w:gridSpan w:val="4"/>
            <w:tcBorders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360"/>
        </w:trPr>
        <w:tc>
          <w:tcPr>
            <w:tcW w:w="988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*A </w:t>
            </w:r>
            <w:proofErr w:type="spellStart"/>
            <w:r>
              <w:rPr>
                <w:i/>
                <w:iCs/>
                <w:sz w:val="18"/>
                <w:szCs w:val="18"/>
              </w:rPr>
              <w:t>Htv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</w:t>
            </w:r>
            <w:r w:rsidR="0049292F">
              <w:rPr>
                <w:i/>
                <w:iCs/>
                <w:sz w:val="18"/>
                <w:szCs w:val="18"/>
              </w:rPr>
              <w:t>2019</w:t>
            </w:r>
            <w:r>
              <w:rPr>
                <w:i/>
                <w:iCs/>
                <w:sz w:val="18"/>
                <w:szCs w:val="18"/>
              </w:rPr>
              <w:t xml:space="preserve">. június 14-i </w:t>
            </w:r>
            <w:r w:rsidR="0049292F">
              <w:rPr>
                <w:i/>
                <w:iCs/>
                <w:sz w:val="18"/>
                <w:szCs w:val="18"/>
              </w:rPr>
              <w:t>2019</w:t>
            </w:r>
            <w:r>
              <w:rPr>
                <w:i/>
                <w:iCs/>
                <w:sz w:val="18"/>
                <w:szCs w:val="18"/>
              </w:rPr>
              <w:t xml:space="preserve">/1084/EU bizottsági rendelet (HL L 156., </w:t>
            </w:r>
            <w:r w:rsidR="0049292F">
              <w:rPr>
                <w:i/>
                <w:iCs/>
                <w:sz w:val="18"/>
                <w:szCs w:val="18"/>
              </w:rPr>
              <w:t>2019</w:t>
            </w:r>
            <w:r>
              <w:rPr>
                <w:i/>
                <w:iCs/>
                <w:sz w:val="18"/>
                <w:szCs w:val="18"/>
              </w:rPr>
              <w:t>.6.20., 1. o.) szerinti, sportlétesítményekre nyújtott működési támogatásnak minősül. A támogatás igénybevételéről e bevallásban nyilatkozni kell!</w:t>
            </w:r>
          </w:p>
        </w:tc>
      </w:tr>
      <w:tr w:rsidR="00E903AE">
        <w:trPr>
          <w:trHeight w:val="291"/>
        </w:trPr>
        <w:tc>
          <w:tcPr>
            <w:tcW w:w="9889" w:type="dxa"/>
            <w:gridSpan w:val="6"/>
            <w:tcBorders>
              <w:left w:val="nil"/>
              <w:right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</w:p>
        </w:tc>
      </w:tr>
      <w:tr w:rsidR="00E903AE">
        <w:trPr>
          <w:trHeight w:val="366"/>
        </w:trPr>
        <w:tc>
          <w:tcPr>
            <w:tcW w:w="988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rPr>
                <w:b/>
                <w:bCs/>
              </w:rPr>
            </w:pPr>
            <w:r>
              <w:rPr>
                <w:b/>
                <w:bCs/>
              </w:rPr>
              <w:t>II/A.  Nyilatkozat</w:t>
            </w:r>
          </w:p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FFFF"/>
              </w:rPr>
              <w:t>a</w:t>
            </w:r>
          </w:p>
        </w:tc>
      </w:tr>
      <w:tr w:rsidR="00E903AE">
        <w:trPr>
          <w:trHeight w:val="2655"/>
        </w:trPr>
        <w:tc>
          <w:tcPr>
            <w:tcW w:w="98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both"/>
            </w:pPr>
            <w:r>
              <w:t xml:space="preserve">Nyilatkozom, hogy a </w:t>
            </w:r>
            <w:proofErr w:type="spellStart"/>
            <w:r>
              <w:t>Htv</w:t>
            </w:r>
            <w:proofErr w:type="spellEnd"/>
            <w:r>
              <w:t xml:space="preserve">. 52. § 22. pont </w:t>
            </w:r>
            <w:r>
              <w:rPr>
                <w:i/>
                <w:iCs/>
              </w:rPr>
              <w:t>i)</w:t>
            </w:r>
            <w:r>
              <w:t xml:space="preserve"> alpontja szerinti („A” jelű betétlap </w:t>
            </w:r>
            <w:proofErr w:type="gramStart"/>
            <w:r>
              <w:t>II./</w:t>
            </w:r>
            <w:proofErr w:type="gramEnd"/>
            <w:r>
              <w:t>7. sora) nettó árbevétel csökkentés miatti adócsökkenést választásom szerint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LiberationSerif" w:hAnsi="LiberationSerif" w:cs="LiberationSerif"/>
              </w:rPr>
              <w:t xml:space="preserve">a csekély </w:t>
            </w:r>
            <w:proofErr w:type="spellStart"/>
            <w:r>
              <w:rPr>
                <w:rFonts w:ascii="LiberationSerif" w:hAnsi="LiberationSerif" w:cs="LiberationSerif"/>
              </w:rPr>
              <w:t>összegû</w:t>
            </w:r>
            <w:proofErr w:type="spellEnd"/>
            <w:r>
              <w:rPr>
                <w:rFonts w:ascii="LiberationSerif" w:hAnsi="LiberationSerif" w:cs="LiberationSerif"/>
              </w:rPr>
              <w:t xml:space="preserve"> támogatásokról szóló rendelettel vagy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LiberationSerif" w:hAnsi="LiberationSerif" w:cs="LiberationSerif"/>
              </w:rPr>
              <w:t xml:space="preserve">a </w:t>
            </w:r>
            <w:proofErr w:type="spellStart"/>
            <w:r>
              <w:rPr>
                <w:rFonts w:ascii="LiberationSerif" w:hAnsi="LiberationSerif" w:cs="LiberationSerif"/>
              </w:rPr>
              <w:t>Szerzõdés</w:t>
            </w:r>
            <w:proofErr w:type="spellEnd"/>
            <w:r>
              <w:rPr>
                <w:rFonts w:ascii="LiberationSerif" w:hAnsi="LiberationSerif" w:cs="LiberationSerif"/>
              </w:rPr>
              <w:t xml:space="preserve"> 107. és 108. cikke alkalmazásában bizonyos támogatási kategóriáknak a </w:t>
            </w:r>
            <w:proofErr w:type="spellStart"/>
            <w:r>
              <w:rPr>
                <w:rFonts w:ascii="LiberationSerif" w:hAnsi="LiberationSerif" w:cs="LiberationSerif"/>
              </w:rPr>
              <w:t>belsõ</w:t>
            </w:r>
            <w:proofErr w:type="spellEnd"/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</w:t>
            </w:r>
            <w:proofErr w:type="spellStart"/>
            <w:r>
              <w:rPr>
                <w:rFonts w:ascii="LiberationSerif" w:hAnsi="LiberationSerif" w:cs="LiberationSerif"/>
              </w:rPr>
              <w:t>összeegyeztethetõvé</w:t>
            </w:r>
            <w:proofErr w:type="spellEnd"/>
            <w:r>
              <w:rPr>
                <w:rFonts w:ascii="LiberationSerif" w:hAnsi="LiberationSerif" w:cs="LiberationSerif"/>
              </w:rPr>
              <w:t xml:space="preserve"> nyilvánításáról szóló, 2014. június 17-i 651/2014/EU bizottsági rendelet hatályos szabályaival, különösen 55. cikkével 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E903A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>
      <w:r>
        <w:br w:type="page"/>
      </w:r>
    </w:p>
    <w:p w:rsidR="00E903AE" w:rsidRDefault="00E903AE"/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1376"/>
        <w:gridCol w:w="801"/>
        <w:gridCol w:w="176"/>
        <w:gridCol w:w="638"/>
        <w:gridCol w:w="3839"/>
      </w:tblGrid>
      <w:tr w:rsidR="00E903AE" w:rsidTr="00440D85">
        <w:trPr>
          <w:trHeight w:val="826"/>
        </w:trPr>
        <w:tc>
          <w:tcPr>
            <w:tcW w:w="9599" w:type="dxa"/>
            <w:gridSpan w:val="6"/>
            <w:vAlign w:val="center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caps/>
              </w:rPr>
              <w:t>„B” jelű betétlap</w:t>
            </w:r>
          </w:p>
          <w:p w:rsidR="00E903AE" w:rsidRDefault="00E903AE">
            <w:pPr>
              <w:jc w:val="center"/>
            </w:pPr>
          </w:p>
          <w:p w:rsidR="00E903AE" w:rsidRDefault="0049292F">
            <w:pPr>
              <w:jc w:val="center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Hitelintézetek és pénzügyi vállalkozások nettó árbevételének kiszámítása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left w:val="nil"/>
              <w:right w:val="nil"/>
            </w:tcBorders>
          </w:tcPr>
          <w:p w:rsidR="00E903AE" w:rsidRDefault="00E903AE"/>
        </w:tc>
      </w:tr>
      <w:tr w:rsidR="00E903AE" w:rsidTr="00440D85">
        <w:trPr>
          <w:trHeight w:val="288"/>
        </w:trPr>
        <w:tc>
          <w:tcPr>
            <w:tcW w:w="9599" w:type="dxa"/>
            <w:gridSpan w:val="6"/>
            <w:tcBorders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440D85">
        <w:trPr>
          <w:trHeight w:val="640"/>
        </w:trPr>
        <w:tc>
          <w:tcPr>
            <w:tcW w:w="9599" w:type="dxa"/>
            <w:gridSpan w:val="6"/>
            <w:tcBorders>
              <w:bottom w:val="nil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  <w:r>
              <w:t>Adóalany neve (cégneve): _________________________________________________________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bottom w:val="nil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</w:tcBorders>
            <w:vAlign w:val="center"/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left w:val="nil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9599" w:type="dxa"/>
            <w:gridSpan w:val="6"/>
            <w:tcBorders>
              <w:bottom w:val="nil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Nettó árbevétel</w:t>
            </w:r>
          </w:p>
        </w:tc>
      </w:tr>
      <w:tr w:rsidR="00E903AE" w:rsidTr="00440D85">
        <w:trPr>
          <w:trHeight w:val="104"/>
        </w:trPr>
        <w:tc>
          <w:tcPr>
            <w:tcW w:w="9599" w:type="dxa"/>
            <w:gridSpan w:val="6"/>
            <w:tcBorders>
              <w:top w:val="nil"/>
            </w:tcBorders>
          </w:tcPr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 w:rsidTr="00440D85">
        <w:tc>
          <w:tcPr>
            <w:tcW w:w="5122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éves nettó árbevétel </w:t>
            </w:r>
            <w:r>
              <w:rPr>
                <w:i/>
                <w:iCs/>
              </w:rPr>
              <w:t>[2+3+4+5+6+7-8-9]:</w:t>
            </w:r>
          </w:p>
        </w:tc>
        <w:tc>
          <w:tcPr>
            <w:tcW w:w="4477" w:type="dxa"/>
            <w:gridSpan w:val="2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415"/>
        </w:trPr>
        <w:tc>
          <w:tcPr>
            <w:tcW w:w="5122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  <w:spacing w:before="120"/>
            </w:pPr>
            <w:r>
              <w:t>Kapott kamatok és kamatjellegű bevételek:</w:t>
            </w:r>
          </w:p>
        </w:tc>
        <w:tc>
          <w:tcPr>
            <w:tcW w:w="4477" w:type="dxa"/>
            <w:gridSpan w:val="2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427"/>
        </w:trPr>
        <w:tc>
          <w:tcPr>
            <w:tcW w:w="5122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Egyéb pénzügyi szolgáltatás bevételei:</w:t>
            </w:r>
          </w:p>
        </w:tc>
        <w:tc>
          <w:tcPr>
            <w:tcW w:w="4477" w:type="dxa"/>
            <w:gridSpan w:val="2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599"/>
        </w:trPr>
        <w:tc>
          <w:tcPr>
            <w:tcW w:w="5122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Nem pénzügyi és befektetési szolgáltatás nettó árbevétele:</w:t>
            </w:r>
          </w:p>
        </w:tc>
        <w:tc>
          <w:tcPr>
            <w:tcW w:w="4477" w:type="dxa"/>
            <w:gridSpan w:val="2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496"/>
        </w:trPr>
        <w:tc>
          <w:tcPr>
            <w:tcW w:w="5122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Befektetési szolgáltatás bevétele:</w:t>
            </w:r>
          </w:p>
        </w:tc>
        <w:tc>
          <w:tcPr>
            <w:tcW w:w="4477" w:type="dxa"/>
            <w:gridSpan w:val="2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c>
          <w:tcPr>
            <w:tcW w:w="5122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Fedezeti ügyletek nyereségének/veszteségének nyereségjellegű különbözete:</w:t>
            </w:r>
          </w:p>
        </w:tc>
        <w:tc>
          <w:tcPr>
            <w:tcW w:w="4477" w:type="dxa"/>
            <w:gridSpan w:val="2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519"/>
        </w:trPr>
        <w:tc>
          <w:tcPr>
            <w:tcW w:w="5122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Alapügyletek (fedezett tételek) nyereségének/veszteségének nyereségjellegű különbözete:</w:t>
            </w:r>
          </w:p>
        </w:tc>
        <w:tc>
          <w:tcPr>
            <w:tcW w:w="4477" w:type="dxa"/>
            <w:gridSpan w:val="2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519"/>
        </w:trPr>
        <w:tc>
          <w:tcPr>
            <w:tcW w:w="5122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>Fizetett kamatok és kamatjellegű ráfordítások:</w:t>
            </w:r>
          </w:p>
        </w:tc>
        <w:tc>
          <w:tcPr>
            <w:tcW w:w="4477" w:type="dxa"/>
            <w:gridSpan w:val="2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519"/>
        </w:trPr>
        <w:tc>
          <w:tcPr>
            <w:tcW w:w="5122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22"/>
              </w:numPr>
            </w:pPr>
            <w:r>
              <w:t xml:space="preserve">Pénzügyi lízingbe adott eszköz után elszámolt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477" w:type="dxa"/>
            <w:gridSpan w:val="2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c>
          <w:tcPr>
            <w:tcW w:w="5122" w:type="dxa"/>
            <w:gridSpan w:val="4"/>
            <w:tcBorders>
              <w:left w:val="nil"/>
              <w:right w:val="nil"/>
            </w:tcBorders>
          </w:tcPr>
          <w:p w:rsidR="00E903AE" w:rsidRDefault="00E903AE"/>
        </w:tc>
        <w:tc>
          <w:tcPr>
            <w:tcW w:w="4477" w:type="dxa"/>
            <w:gridSpan w:val="2"/>
            <w:tcBorders>
              <w:left w:val="nil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9599" w:type="dxa"/>
            <w:gridSpan w:val="6"/>
            <w:tcBorders>
              <w:bottom w:val="nil"/>
            </w:tcBorders>
          </w:tcPr>
          <w:p w:rsidR="00E903AE" w:rsidRDefault="00E903AE"/>
        </w:tc>
      </w:tr>
      <w:tr w:rsidR="00E903AE" w:rsidTr="00440D85">
        <w:tc>
          <w:tcPr>
            <w:tcW w:w="2769" w:type="dxa"/>
            <w:tcBorders>
              <w:top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□□□□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□□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□□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440D85">
        <w:tc>
          <w:tcPr>
            <w:tcW w:w="2769" w:type="dxa"/>
            <w:tcBorders>
              <w:top w:val="nil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39" w:type="dxa"/>
            <w:tcBorders>
              <w:top w:val="nil"/>
              <w:left w:val="nil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3"/>
        <w:gridCol w:w="1379"/>
        <w:gridCol w:w="815"/>
        <w:gridCol w:w="164"/>
        <w:gridCol w:w="695"/>
        <w:gridCol w:w="3841"/>
      </w:tblGrid>
      <w:tr w:rsidR="00E903A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lastRenderedPageBreak/>
              <w:br w:type="page"/>
            </w:r>
            <w:r>
              <w:rPr>
                <w:b/>
                <w:bCs/>
                <w:caps/>
              </w:rPr>
              <w:t>„C” jelű betétlap</w:t>
            </w:r>
          </w:p>
          <w:p w:rsidR="00E903AE" w:rsidRDefault="00E903AE">
            <w:pPr>
              <w:jc w:val="center"/>
            </w:pPr>
          </w:p>
          <w:p w:rsidR="00E903AE" w:rsidRDefault="0049292F">
            <w:pPr>
              <w:jc w:val="center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Biztosítók nettó árbevételének kiszámítása</w:t>
            </w:r>
          </w:p>
        </w:tc>
      </w:tr>
      <w:tr w:rsidR="00E903A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3AE" w:rsidRDefault="00E903AE"/>
        </w:tc>
      </w:tr>
      <w:tr w:rsidR="00E903A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Pr="00440D85" w:rsidRDefault="00E903AE" w:rsidP="00440D85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</w:t>
            </w:r>
          </w:p>
        </w:tc>
      </w:tr>
      <w:tr w:rsidR="00E903A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  <w:r>
              <w:t>Adóalany neve (cégneve): _________________________________________________________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>
            <w:r>
              <w:t xml:space="preserve">Adóazonosító jele: </w:t>
            </w:r>
            <w:r>
              <w:rPr>
                <w:sz w:val="48"/>
                <w:szCs w:val="48"/>
              </w:rPr>
              <w:t>□□□□□□□□□□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E" w:rsidRDefault="00E903AE"/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 w:rsidP="008748E5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Nettó árbevétel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E903AE" w:rsidRDefault="00E903AE" w:rsidP="00440D85"/>
        </w:tc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  <w:rPr>
                <w:i/>
                <w:iCs/>
              </w:r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éves nettó árbevétel </w:t>
            </w:r>
            <w:r>
              <w:rPr>
                <w:i/>
                <w:iCs/>
              </w:rPr>
              <w:t>[2+3+4+5+6+7-8]: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  <w:spacing w:before="120"/>
            </w:pPr>
            <w:r>
              <w:t>Biztosítástechnikai eredmény: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  <w:spacing w:before="120"/>
            </w:pPr>
            <w:r>
              <w:t>Nettó működési költség: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  <w:spacing w:before="120"/>
            </w:pPr>
            <w:r>
              <w:t>Befektetésekből származó biztosítástechnikai ráfordítások (csak életbiztosítási ágnál) és az egyéb biztosítástechnikai ráfordítások együttes összege: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</w:pPr>
            <w: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</w:pPr>
            <w: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</w:pPr>
            <w:r>
              <w:t xml:space="preserve">Nem biztosítási tevékenység bevétele, befektetések nettó árbevétele, a </w:t>
            </w:r>
            <w:proofErr w:type="spellStart"/>
            <w:r>
              <w:t>Htv</w:t>
            </w:r>
            <w:proofErr w:type="spellEnd"/>
            <w:r>
              <w:t xml:space="preserve">. 52. § 22. pont </w:t>
            </w:r>
            <w:r>
              <w:rPr>
                <w:i/>
                <w:iCs/>
              </w:rPr>
              <w:t>c)</w:t>
            </w:r>
            <w:r>
              <w:t xml:space="preserve"> alpontja szerint egyéb növelő tételek: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23"/>
              </w:numPr>
            </w:pPr>
            <w:proofErr w:type="spellStart"/>
            <w:r>
              <w:t>Htv</w:t>
            </w:r>
            <w:proofErr w:type="spellEnd"/>
            <w:r>
              <w:t xml:space="preserve">. 52. § 22. pont </w:t>
            </w:r>
            <w:r>
              <w:rPr>
                <w:i/>
                <w:iCs/>
              </w:rPr>
              <w:t>c)</w:t>
            </w:r>
            <w:r>
              <w:t xml:space="preserve"> alpontjában foglalt csökkentések: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3AE" w:rsidRDefault="00E903AE"/>
        </w:tc>
      </w:tr>
      <w:tr w:rsidR="00E903A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3"/>
        <w:gridCol w:w="1379"/>
        <w:gridCol w:w="815"/>
        <w:gridCol w:w="164"/>
        <w:gridCol w:w="695"/>
        <w:gridCol w:w="3841"/>
      </w:tblGrid>
      <w:tr w:rsidR="00E903A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caps/>
              </w:rPr>
              <w:t>„D” jelű betétlap</w:t>
            </w:r>
          </w:p>
          <w:p w:rsidR="00E903AE" w:rsidRDefault="00E903AE">
            <w:pPr>
              <w:jc w:val="center"/>
            </w:pPr>
          </w:p>
          <w:p w:rsidR="00E903AE" w:rsidRDefault="0049292F">
            <w:pPr>
              <w:jc w:val="center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Befektetési vállalkozások nettó árbevételének kiszámítása</w:t>
            </w:r>
          </w:p>
        </w:tc>
      </w:tr>
      <w:tr w:rsidR="00E903A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3AE" w:rsidRDefault="00E903AE"/>
        </w:tc>
      </w:tr>
      <w:tr w:rsidR="00E903A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7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  <w:r>
              <w:t>Adóalany neve (cégneve): _________________________________________________________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>
            <w:r>
              <w:t xml:space="preserve">Adóazonosító jele: </w:t>
            </w:r>
            <w:r>
              <w:rPr>
                <w:sz w:val="48"/>
                <w:szCs w:val="48"/>
              </w:rPr>
              <w:t xml:space="preserve">□□□□□□□□□□ 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E" w:rsidRDefault="00E903AE"/>
        </w:tc>
      </w:tr>
      <w:tr w:rsidR="00E903A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Nettó árbevétel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E903AE" w:rsidRDefault="00E903AE">
            <w:pPr>
              <w:ind w:left="720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éves nettó árbevétel </w:t>
            </w:r>
            <w:r>
              <w:rPr>
                <w:i/>
                <w:iCs/>
              </w:rPr>
              <w:t>[2+3+4+5+6]: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  <w:spacing w:before="120"/>
            </w:pPr>
            <w:r>
              <w:t>Befektetési szolgáltatási tevékenység bevételei: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  <w:spacing w:before="120"/>
            </w:pPr>
            <w:r>
              <w:t>Nem befektetési szolgáltatási tevékenység bevétele: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  <w:spacing w:before="120"/>
            </w:pPr>
            <w:r>
              <w:t>Kapott kamatok és kamatjellegű bevételek együttes összege: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</w:pPr>
            <w:r>
              <w:t>Fedezeti ügyletek nyereségének/ veszteségének nyereségjellegű különbözete: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5"/>
        </w:trPr>
        <w:tc>
          <w:tcPr>
            <w:tcW w:w="5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9"/>
              </w:numPr>
            </w:pPr>
            <w: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3AE" w:rsidRDefault="00E903AE"/>
        </w:tc>
      </w:tr>
      <w:tr w:rsidR="00E903A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/>
    <w:p w:rsidR="00E903AE" w:rsidRDefault="00E903AE"/>
    <w:p w:rsidR="00E903AE" w:rsidRDefault="00E903AE"/>
    <w:p w:rsidR="00E903AE" w:rsidRDefault="00E903AE"/>
    <w:p w:rsidR="00E903AE" w:rsidRDefault="00E903AE"/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1376"/>
        <w:gridCol w:w="801"/>
        <w:gridCol w:w="176"/>
        <w:gridCol w:w="638"/>
        <w:gridCol w:w="3839"/>
      </w:tblGrid>
      <w:tr w:rsidR="00E903AE" w:rsidTr="00440D85">
        <w:trPr>
          <w:trHeight w:val="79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„E” JELŰ BETÉTLAP</w:t>
            </w:r>
          </w:p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</w:pPr>
            <w:r>
              <w:t xml:space="preserve">    </w:t>
            </w:r>
            <w:r w:rsidR="0049292F"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>
              <w:t>illetékességi területén</w:t>
            </w:r>
            <w:r>
              <w:br/>
              <w:t xml:space="preserve">  folytatott állandó jellegű iparűzési tevékenység utáni adókötelezettségről szóló helyi </w:t>
            </w:r>
            <w:r>
              <w:br/>
              <w:t xml:space="preserve">  iparűzési adóbevalláshoz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Az eladott áruk beszerzési értéke és a közvetített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     szolgáltatások értéke figyelembe vehető együttes összege, kapcsolt vállalkozás adóalapja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rPr>
                <w:b/>
                <w:bCs/>
              </w:rPr>
            </w:pPr>
          </w:p>
        </w:tc>
      </w:tr>
      <w:tr w:rsidR="00E903AE" w:rsidTr="00440D85">
        <w:trPr>
          <w:trHeight w:val="379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</w:rPr>
              <w:t>Htv</w:t>
            </w:r>
            <w:proofErr w:type="spellEnd"/>
            <w:r>
              <w:rPr>
                <w:b/>
                <w:bCs/>
                <w:i/>
                <w:iCs/>
              </w:rPr>
              <w:t>. 39. § (6), (10) bekezdés szerinti kapcsolt vállalkozás tagja:</w:t>
            </w:r>
            <w:r>
              <w:rPr>
                <w:b/>
                <w:bCs/>
              </w:rPr>
              <w:t xml:space="preserve"> </w:t>
            </w:r>
            <w:r>
              <w:rPr>
                <w:sz w:val="48"/>
                <w:szCs w:val="48"/>
              </w:rPr>
              <w:t>□</w:t>
            </w:r>
          </w:p>
        </w:tc>
      </w:tr>
      <w:tr w:rsidR="00E903AE" w:rsidTr="00440D85">
        <w:trPr>
          <w:trHeight w:val="35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ind w:left="720"/>
            </w:pPr>
          </w:p>
        </w:tc>
      </w:tr>
      <w:tr w:rsidR="00E903AE" w:rsidTr="00440D85">
        <w:trPr>
          <w:trHeight w:val="692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/>
          <w:p w:rsidR="00E903AE" w:rsidRDefault="00E903AE" w:rsidP="008748E5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Htv</w:t>
            </w:r>
            <w:proofErr w:type="spellEnd"/>
            <w:r>
              <w:rPr>
                <w:b/>
                <w:bCs/>
              </w:rPr>
              <w:t xml:space="preserve">. 39. § (6), (10) bekezdésének hatálya alá nem tartozó vállalkozás esetén </w:t>
            </w:r>
            <w:r>
              <w:rPr>
                <w:i/>
                <w:iCs/>
              </w:rPr>
              <w:t>(forintban)</w:t>
            </w:r>
          </w:p>
          <w:p w:rsidR="00E903AE" w:rsidRDefault="00E903AE"/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>Eladott áruk beszerzési értéke (</w:t>
            </w:r>
            <w:proofErr w:type="spellStart"/>
            <w:r>
              <w:t>elábé</w:t>
            </w:r>
            <w:proofErr w:type="spellEnd"/>
            <w:r>
              <w:t>) összesen: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>Közvetített szolgáltatások értéke összesen: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és 2.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export </w:t>
            </w:r>
            <w:proofErr w:type="spellStart"/>
            <w:r>
              <w:t>árbevételhez</w:t>
            </w:r>
            <w:proofErr w:type="spellEnd"/>
            <w:r>
              <w:t xml:space="preserve"> kapcsolódó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</w:t>
            </w:r>
            <w:r>
              <w:rPr>
                <w:i/>
                <w:iCs/>
              </w:rPr>
              <w:t xml:space="preserve"> 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közfinanszírozásban részesülő gyógyszerek értékesítéséhez kapcsolódó </w:t>
            </w:r>
            <w:proofErr w:type="spellStart"/>
            <w:r>
              <w:t>elábé</w:t>
            </w:r>
            <w:proofErr w:type="spellEnd"/>
            <w:r>
              <w:t xml:space="preserve">, vagy dohány kiskereskedelmi-ellátónál a dohány bekerülési értéke </w:t>
            </w: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>
              <w:rPr>
                <w:b/>
                <w:bCs/>
                <w:i/>
                <w:iCs/>
              </w:rPr>
              <w:t xml:space="preserve">(500 M Ft-ot meg nem </w:t>
            </w:r>
            <w:r>
              <w:rPr>
                <w:b/>
                <w:bCs/>
                <w:i/>
                <w:iCs/>
              </w:rPr>
              <w:lastRenderedPageBreak/>
              <w:t xml:space="preserve">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39. § (4) és (5) bekezdése alapján (sávosan) megállapított, levonható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 együttes összege 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Figyelembe vehető </w:t>
            </w:r>
            <w:proofErr w:type="spellStart"/>
            <w:r>
              <w:t>elábé</w:t>
            </w:r>
            <w:proofErr w:type="spellEnd"/>
            <w:r>
              <w:t xml:space="preserve"> és a közvetített szolgáltatások értékének együttes összege</w:t>
            </w:r>
            <w:r>
              <w:rPr>
                <w:i/>
                <w:iCs/>
              </w:rPr>
              <w:t xml:space="preserve"> [legfeljebb 500 M Ft nettó </w:t>
            </w:r>
            <w:proofErr w:type="spellStart"/>
            <w:r>
              <w:rPr>
                <w:i/>
                <w:iCs/>
              </w:rPr>
              <w:t>árbevételű</w:t>
            </w:r>
            <w:proofErr w:type="spellEnd"/>
            <w:r>
              <w:rPr>
                <w:i/>
                <w:iCs/>
              </w:rPr>
              <w:t xml:space="preserve"> adózó esetén: (1+2), 500 M </w:t>
            </w:r>
            <w:proofErr w:type="gramStart"/>
            <w:r>
              <w:rPr>
                <w:i/>
                <w:iCs/>
              </w:rPr>
              <w:t>Ft  feletti</w:t>
            </w:r>
            <w:proofErr w:type="gramEnd"/>
            <w:r>
              <w:rPr>
                <w:i/>
                <w:iCs/>
              </w:rPr>
              <w:t xml:space="preserve"> nettó  árbevétel esetén: (3+4+5+6)]: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692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0"/>
              </w:numPr>
            </w:pPr>
            <w:r>
              <w:rPr>
                <w:b/>
                <w:bCs/>
              </w:rPr>
              <w:t>A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Htv</w:t>
            </w:r>
            <w:proofErr w:type="spellEnd"/>
            <w:r>
              <w:rPr>
                <w:b/>
                <w:bCs/>
              </w:rPr>
              <w:t xml:space="preserve">. 39. § (6), (10) bekezdésének hatálya alá tartozó kapcsolt vállalkozás esetén </w:t>
            </w:r>
            <w:r>
              <w:rPr>
                <w:i/>
                <w:iCs/>
              </w:rPr>
              <w:t>(forintban)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által figyelembe vehető összes anyagköltség, alvállalkozói teljesítések értéke, alapkutatás, alkalmazott kutatás, kísérleti fejlesztés adóévben elszámolt közvetlen költsége: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eladott áruk beszerzési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közvetített szolgáltatások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és 4.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export </w:t>
            </w:r>
            <w:proofErr w:type="spellStart"/>
            <w:r>
              <w:t>árbevételhez</w:t>
            </w:r>
            <w:proofErr w:type="spellEnd"/>
            <w:r>
              <w:t xml:space="preserve"> kapcsolódó összes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közfinanszírozásban részesülő gyógyszerek értékesítéséhez kapcsolódó </w:t>
            </w:r>
            <w:proofErr w:type="spellStart"/>
            <w:r>
              <w:t>elábé</w:t>
            </w:r>
            <w:proofErr w:type="spellEnd"/>
            <w:r>
              <w:t>, vagy dohány kiskereskedelmi-ellátónál a dohány bekerülési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sorból a </w:t>
            </w:r>
            <w:proofErr w:type="spellStart"/>
            <w:r>
              <w:t>Htv</w:t>
            </w:r>
            <w:proofErr w:type="spellEnd"/>
            <w:r>
              <w:t>. 39. § (7) bekezdése szerinti 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kapcsolt vállalkozásoknál a </w:t>
            </w:r>
            <w:proofErr w:type="spellStart"/>
            <w:r>
              <w:t>Htv</w:t>
            </w:r>
            <w:proofErr w:type="spellEnd"/>
            <w:r>
              <w:t xml:space="preserve">. 39. § (4) és (5) bekezdése alapján (sávosan) megállapított, levonható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 együttes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kapcsolt vállalkozás tagjai által összesen figyelembe vehető eladott áruk beszerzési értékének és a közvetített szolgáltatások értékének együttes összege </w:t>
            </w:r>
            <w:r>
              <w:rPr>
                <w:i/>
                <w:iCs/>
              </w:rPr>
              <w:t>[5+6+7+8]: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lastRenderedPageBreak/>
              <w:t xml:space="preserve">A kapcsolt vállalkozások összesített pozitív előjelű különbözete (adóalap) </w:t>
            </w:r>
            <w:r>
              <w:rPr>
                <w:i/>
                <w:iCs/>
              </w:rPr>
              <w:t>[1-2-9]: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Az adóalanyra jutó vállalkozási szintű adóalap </w:t>
            </w:r>
            <w:r>
              <w:br/>
            </w:r>
            <w:r>
              <w:rPr>
                <w:i/>
                <w:iCs/>
              </w:rPr>
              <w:t xml:space="preserve">[„E” jelű betétlap III. /10. sor x („A” vagy „B” vagy „C” vagy „D” jelű betétlap II/1. </w:t>
            </w:r>
            <w:proofErr w:type="gramStart"/>
            <w:r>
              <w:rPr>
                <w:i/>
                <w:iCs/>
              </w:rPr>
              <w:t>sor  ÷</w:t>
            </w:r>
            <w:proofErr w:type="gramEnd"/>
            <w:r>
              <w:rPr>
                <w:i/>
                <w:iCs/>
              </w:rPr>
              <w:t xml:space="preserve"> „E” jelű betétlap III./1. sor)]: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440D85"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440D85" w:rsidRDefault="00440D85">
      <w:r>
        <w:br w:type="page"/>
      </w:r>
    </w:p>
    <w:p w:rsidR="00E903AE" w:rsidRDefault="00E903AE"/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1376"/>
        <w:gridCol w:w="801"/>
        <w:gridCol w:w="176"/>
        <w:gridCol w:w="639"/>
        <w:gridCol w:w="3838"/>
      </w:tblGrid>
      <w:tr w:rsidR="00E903AE" w:rsidTr="00440D85">
        <w:trPr>
          <w:trHeight w:val="826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„F” JELŰ BETÉTLAP</w:t>
            </w:r>
          </w:p>
          <w:p w:rsidR="00E903AE" w:rsidRDefault="0049292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A vállalkozási szintű adóalap megosztása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379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440D85">
        <w:trPr>
          <w:trHeight w:val="35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ind w:left="1080"/>
            </w:pPr>
          </w:p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>Az alkalmazott adóalap megosztási módszere</w:t>
            </w:r>
          </w:p>
          <w:p w:rsidR="00E903AE" w:rsidRDefault="00E903AE"/>
        </w:tc>
      </w:tr>
      <w:tr w:rsidR="00E903AE" w:rsidTr="00440D85">
        <w:trPr>
          <w:trHeight w:val="3271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személyi jellegű ráfordítással arányos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eszközérték arányos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2.1.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2.2.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2.3.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2.4.1.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2.4.2. pontja szerinti megosztás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692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/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>A megosztás</w:t>
            </w:r>
          </w:p>
          <w:p w:rsidR="00E903AE" w:rsidRDefault="00E903AE"/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right"/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(A 7-8. és a 11-16. sorok kivételével forintban)</w:t>
            </w:r>
          </w:p>
          <w:p w:rsidR="00E903AE" w:rsidRDefault="00E903AE">
            <w:pPr>
              <w:jc w:val="right"/>
              <w:rPr>
                <w:strike/>
              </w:rPr>
            </w:pP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rPr>
                <w:sz w:val="22"/>
              </w:rPr>
            </w:pPr>
            <w:r w:rsidRPr="000E5096">
              <w:rPr>
                <w:sz w:val="22"/>
              </w:rPr>
              <w:t xml:space="preserve">A vállalkozás által az adóévben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 – figyelembeveendő összes személyi jellegű ráfordítás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Az 1. sorból az önkormányzat illetékességi területén foglalkoztatottak után az adóévben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 – figyelembeveendő személyi jellegű ráfordítás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 xml:space="preserve">A vállalkozásnak az adóévben a székhely, telephely szerinti településekhez tartozó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szerinti – összes eszközérték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 xml:space="preserve">A 3. sorból az önkormányzat illetékességi területén figyelembeveendő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szerinti – eszközérték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lastRenderedPageBreak/>
              <w:t>Egyetemes szolgáltató, villamosenergia- vagy földgázkereskedő villamosenergia vagy földgáz végső fogyasztók részére történő értékesítésből származó összes számviteli törvény szerinti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>Az 5. sorból az önkormányzat illetékességi területére jutó számviteli törvény szerinti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Villamosenergia-elosztó hálózati engedélyes és földgázelosztói engedélyes esetén az összes végső fogyasztónak továbbított villamosenergia vagy földgáz mennyisége: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7. sorból az </w:t>
            </w:r>
            <w:proofErr w:type="gramStart"/>
            <w:r w:rsidRPr="000E5096">
              <w:rPr>
                <w:sz w:val="22"/>
              </w:rPr>
              <w:t>önkormányzat  illetékességi</w:t>
            </w:r>
            <w:proofErr w:type="gramEnd"/>
            <w:r w:rsidRPr="000E5096">
              <w:rPr>
                <w:sz w:val="22"/>
              </w:rPr>
              <w:t xml:space="preserve"> területén lévő végső fogyasztónak  továbbított villamosenergia vagy földgáz mennyisége: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Az építőipari tevékenységből [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 xml:space="preserve">. 52. § 24. pontja] származó, számviteli törvény szerinti értékesítés nettó árbevétele és az </w:t>
            </w:r>
            <w:proofErr w:type="spellStart"/>
            <w:r w:rsidRPr="000E5096">
              <w:rPr>
                <w:sz w:val="22"/>
              </w:rPr>
              <w:t>adóév</w:t>
            </w:r>
            <w:proofErr w:type="spellEnd"/>
            <w:r w:rsidRPr="000E5096">
              <w:rPr>
                <w:sz w:val="22"/>
              </w:rPr>
              <w:t xml:space="preserve"> utolsó napján fennálló, építőipari tevékenységgel összefüggésben készletre vett befejezetlen termelés, félkésztermék, késztermék értéke együttes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9. sorból az önkormányzat illetékességi területén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 xml:space="preserve">. 37. § (2) bekezdés </w:t>
            </w:r>
            <w:r w:rsidRPr="000E5096">
              <w:rPr>
                <w:i/>
                <w:iCs/>
                <w:sz w:val="22"/>
              </w:rPr>
              <w:t>b)</w:t>
            </w:r>
            <w:r w:rsidRPr="000E5096">
              <w:rPr>
                <w:sz w:val="22"/>
              </w:rPr>
              <w:t xml:space="preserve"> pont és (3) bekezdés szerint létrejött telephelyre jutó összeg: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 nélküli távközlési tevékenységet végző vállalkozó távközlési szolgáltatást igénybe vevő előfizetőinek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11.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vezetékes távközlési tevékenységet végző vállalkozó vezetékes távközlési tevékenység szolgáltatási helyeinek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13. sorból az önkormányzat illetékességi területén található vezetékes szolgáltatási helyeinek száma: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vezetékes távközlési tevékenységet végző vállalkozó vezeték nélküli távközlési szolgáltatást igénybe vevő előfizetőinek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15. sorból az önkormányzat illetékességi területén található számlázási cím szerinti vezeték nélküli távközlési tevékenységet igénybe vevő előfizetők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03AE" w:rsidRDefault="00E903AE"/>
          <w:p w:rsidR="00E903AE" w:rsidRDefault="00E903AE">
            <w: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Default="00E903A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3AE" w:rsidRDefault="00E903AE"/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440D85"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>
      <w:pPr>
        <w:sectPr w:rsidR="00E903AE" w:rsidSect="00346786">
          <w:footerReference w:type="default" r:id="rId8"/>
          <w:pgSz w:w="11906" w:h="16838" w:code="9"/>
          <w:pgMar w:top="1417" w:right="1417" w:bottom="1417" w:left="1417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7"/>
        <w:gridCol w:w="1680"/>
        <w:gridCol w:w="1021"/>
        <w:gridCol w:w="1023"/>
        <w:gridCol w:w="6846"/>
      </w:tblGrid>
      <w:tr w:rsidR="00E903A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„G” JELŰ BETÉTLAP</w:t>
            </w:r>
          </w:p>
          <w:p w:rsidR="00E903AE" w:rsidRDefault="0049292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Nyilatkozat a túlfizetésről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I. 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>Adóalany neve (cégneve): ________________________________________________________________________________________</w:t>
            </w:r>
          </w:p>
        </w:tc>
      </w:tr>
      <w:tr w:rsidR="00E903A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  <w:rPr>
                <w:sz w:val="40"/>
                <w:szCs w:val="40"/>
              </w:rPr>
            </w:pPr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>A túlfizetés visszautalására szolgáló pénzforgalmi számlaszáma:</w:t>
            </w:r>
          </w:p>
          <w:p w:rsidR="00E903AE" w:rsidRDefault="00E903AE">
            <w:pPr>
              <w:ind w:left="720"/>
            </w:pPr>
            <w:r>
              <w:rPr>
                <w:sz w:val="48"/>
                <w:szCs w:val="48"/>
              </w:rPr>
              <w:t>□□□□-□□□□□□□□-□□□□□□□□-□□□□□□□□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903AE" w:rsidRDefault="00E903A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II. Nyilatkozat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Nyilatkozom, hogy más adóhatóságnál nincs fennálló adótartozásom.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összegét később esedékes helyi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összegéből _______________________ forintot kérek visszatéríteni, a fennmaradó összeget később esedékes helyi</w:t>
            </w:r>
            <w:r>
              <w:rPr>
                <w:sz w:val="40"/>
                <w:szCs w:val="40"/>
              </w:rPr>
              <w:t xml:space="preserve"> </w:t>
            </w:r>
            <w:r>
              <w:t>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összegéből 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lastRenderedPageBreak/>
              <w:t xml:space="preserve">□ </w:t>
            </w:r>
            <w:r>
              <w:t>A túlfizetés teljes összegének visszatérítését kérem.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</w:tcBorders>
            <w:vAlign w:val="center"/>
          </w:tcPr>
          <w:p w:rsidR="00E903AE" w:rsidRDefault="00E903A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E903AE">
              <w:trPr>
                <w:trHeight w:val="765"/>
                <w:jc w:val="center"/>
              </w:trPr>
              <w:tc>
                <w:tcPr>
                  <w:tcW w:w="1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ind w:left="1113"/>
                    <w:rPr>
                      <w:b/>
                      <w:bCs/>
                    </w:rPr>
                  </w:pPr>
                </w:p>
                <w:p w:rsidR="00E903AE" w:rsidRDefault="00E903AE">
                  <w:pPr>
                    <w:ind w:left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 Más adónemben, hatóságnál nyilvántartott, lejárt esedékességű köztartozásra átvezetendő összegek</w:t>
                  </w:r>
                </w:p>
                <w:p w:rsidR="00E903AE" w:rsidRDefault="00E903AE">
                  <w:pPr>
                    <w:ind w:left="33"/>
                    <w:rPr>
                      <w:b/>
                      <w:bCs/>
                    </w:rPr>
                  </w:pPr>
                </w:p>
              </w:tc>
            </w:tr>
          </w:tbl>
          <w:p w:rsidR="00E903AE" w:rsidRDefault="00E903A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Sorszám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 xml:space="preserve">Köztartozást nyilvántartó </w:t>
                  </w:r>
                  <w:r>
                    <w:br/>
                    <w:t>intézmény megnevezése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Köztartozás fajtája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Összeg (forint)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Köztartozáshoz tartozó pénzintézeti számlaszám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 xml:space="preserve">Intézmény által alkalmazott </w:t>
                  </w:r>
                  <w:r>
                    <w:br/>
                    <w:t>ügyfél azonosító szám</w:t>
                  </w: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903AE" w:rsidRDefault="00E903AE"/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______________________________________________</w:t>
            </w:r>
          </w:p>
        </w:tc>
      </w:tr>
      <w:tr w:rsidR="00E903A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>
      <w:r>
        <w:br w:type="page"/>
      </w:r>
    </w:p>
    <w:tbl>
      <w:tblPr>
        <w:tblW w:w="14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E903A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  <w:caps/>
              </w:rPr>
              <w:lastRenderedPageBreak/>
              <w:t>„</w:t>
            </w:r>
            <w:r>
              <w:rPr>
                <w:b/>
                <w:bCs/>
              </w:rPr>
              <w:t>H” JELŰ BETÉTLAP</w:t>
            </w:r>
          </w:p>
          <w:p w:rsidR="00E903AE" w:rsidRDefault="0049292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önkormányzat 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Önellenőrzési pótlék bevallása</w:t>
            </w: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_____________________________________________________________________________________________</w:t>
            </w:r>
          </w:p>
        </w:tc>
      </w:tr>
      <w:tr w:rsidR="00E903A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903AE" w:rsidRDefault="00E903AE" w:rsidP="008748E5">
            <w:pPr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Önellenőrzés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jc w:val="center"/>
            </w:pPr>
            <w:r>
              <w:t>Adóalap változása</w:t>
            </w:r>
          </w:p>
          <w:p w:rsidR="00E903AE" w:rsidRDefault="00E903AE">
            <w:pPr>
              <w:ind w:left="720"/>
              <w:jc w:val="center"/>
            </w:pPr>
            <w:r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jc w:val="center"/>
            </w:pPr>
            <w:r>
              <w:t>Adóösszeg változása</w:t>
            </w:r>
          </w:p>
          <w:p w:rsidR="00E903AE" w:rsidRDefault="00E903AE">
            <w:pPr>
              <w:ind w:left="720"/>
              <w:jc w:val="center"/>
            </w:pPr>
            <w:r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ind w:left="459"/>
              <w:jc w:val="center"/>
            </w:pPr>
            <w:r>
              <w:t>Az önellenőrzési pótlék</w:t>
            </w:r>
          </w:p>
          <w:p w:rsidR="00E903AE" w:rsidRDefault="00E903AE">
            <w:pPr>
              <w:ind w:left="459"/>
              <w:jc w:val="center"/>
            </w:pPr>
            <w:r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ind w:left="486"/>
              <w:jc w:val="center"/>
            </w:pPr>
            <w:r>
              <w:t>Az önellenőrzési pótlék</w:t>
            </w:r>
          </w:p>
          <w:p w:rsidR="00E903AE" w:rsidRDefault="00E903AE">
            <w:pPr>
              <w:ind w:left="486"/>
              <w:jc w:val="center"/>
            </w:pPr>
            <w:r>
              <w:t>összege</w:t>
            </w:r>
          </w:p>
        </w:tc>
      </w:tr>
      <w:tr w:rsidR="00E903A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_________________________________</w:t>
            </w:r>
          </w:p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</w:t>
            </w:r>
          </w:p>
          <w:p w:rsidR="00E903AE" w:rsidRDefault="00E903AE">
            <w:pPr>
              <w:jc w:val="center"/>
            </w:pPr>
            <w:r>
              <w:t>(meghatalmazottja) aláírása</w:t>
            </w:r>
          </w:p>
        </w:tc>
      </w:tr>
    </w:tbl>
    <w:p w:rsidR="00E903AE" w:rsidRDefault="00E903AE"/>
    <w:p w:rsidR="00E903AE" w:rsidRDefault="00E903AE">
      <w:pPr>
        <w:sectPr w:rsidR="00E903AE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E903AE">
        <w:trPr>
          <w:trHeight w:val="826"/>
          <w:jc w:val="center"/>
        </w:trPr>
        <w:tc>
          <w:tcPr>
            <w:tcW w:w="9854" w:type="dxa"/>
            <w:gridSpan w:val="8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„I” jelű betétlap</w:t>
            </w:r>
          </w:p>
          <w:p w:rsidR="00E903AE" w:rsidRDefault="00E903AE">
            <w:pPr>
              <w:jc w:val="center"/>
            </w:pPr>
          </w:p>
          <w:p w:rsidR="00E903AE" w:rsidRDefault="0049292F">
            <w:pPr>
              <w:jc w:val="center"/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éves beszámolóját az IFRS-ek alapján készítő vállalkozó részére</w:t>
            </w:r>
          </w:p>
        </w:tc>
      </w:tr>
      <w:tr w:rsidR="00E903AE">
        <w:trPr>
          <w:trHeight w:val="283"/>
          <w:jc w:val="center"/>
        </w:trPr>
        <w:tc>
          <w:tcPr>
            <w:tcW w:w="7323" w:type="dxa"/>
            <w:gridSpan w:val="7"/>
            <w:tcBorders>
              <w:left w:val="nil"/>
              <w:right w:val="nil"/>
            </w:tcBorders>
          </w:tcPr>
          <w:p w:rsidR="00E903AE" w:rsidRDefault="00E903AE"/>
        </w:tc>
        <w:tc>
          <w:tcPr>
            <w:tcW w:w="2531" w:type="dxa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288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bottom w:val="nil"/>
            </w:tcBorders>
            <w:vAlign w:val="center"/>
          </w:tcPr>
          <w:p w:rsidR="00E903AE" w:rsidRDefault="00E903AE">
            <w:r>
              <w:t>Adóalany neve (cégneve): ____________________________________________________</w:t>
            </w:r>
          </w:p>
        </w:tc>
      </w:tr>
      <w:tr w:rsidR="00E903AE">
        <w:trPr>
          <w:jc w:val="center"/>
        </w:trPr>
        <w:tc>
          <w:tcPr>
            <w:tcW w:w="9854" w:type="dxa"/>
            <w:gridSpan w:val="8"/>
            <w:tcBorders>
              <w:top w:val="nil"/>
              <w:bottom w:val="nil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>
        <w:trPr>
          <w:jc w:val="center"/>
        </w:trPr>
        <w:tc>
          <w:tcPr>
            <w:tcW w:w="9854" w:type="dxa"/>
            <w:gridSpan w:val="8"/>
            <w:tcBorders>
              <w:top w:val="nil"/>
            </w:tcBorders>
            <w:vAlign w:val="center"/>
          </w:tcPr>
          <w:p w:rsidR="00E903AE" w:rsidRDefault="00E903AE">
            <w:r>
              <w:t>Adószáma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>
        <w:trPr>
          <w:trHeight w:val="283"/>
          <w:jc w:val="center"/>
        </w:trPr>
        <w:tc>
          <w:tcPr>
            <w:tcW w:w="5344" w:type="dxa"/>
            <w:gridSpan w:val="4"/>
            <w:tcBorders>
              <w:left w:val="nil"/>
              <w:right w:val="nil"/>
            </w:tcBorders>
          </w:tcPr>
          <w:p w:rsidR="00E903AE" w:rsidRDefault="00E903AE"/>
        </w:tc>
        <w:tc>
          <w:tcPr>
            <w:tcW w:w="4510" w:type="dxa"/>
            <w:gridSpan w:val="4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jc w:val="center"/>
        </w:trPr>
        <w:tc>
          <w:tcPr>
            <w:tcW w:w="9854" w:type="dxa"/>
            <w:gridSpan w:val="8"/>
            <w:tcBorders>
              <w:bottom w:val="nil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Nettó árbevétel</w:t>
            </w:r>
          </w:p>
        </w:tc>
      </w:tr>
      <w:tr w:rsidR="00E903AE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right w:val="nil"/>
            </w:tcBorders>
          </w:tcPr>
          <w:p w:rsidR="00E903AE" w:rsidRDefault="00E903AE"/>
        </w:tc>
        <w:tc>
          <w:tcPr>
            <w:tcW w:w="3616" w:type="dxa"/>
            <w:gridSpan w:val="2"/>
            <w:tcBorders>
              <w:top w:val="nil"/>
              <w:left w:val="nil"/>
            </w:tcBorders>
            <w:vAlign w:val="center"/>
          </w:tcPr>
          <w:p w:rsidR="00E903AE" w:rsidRDefault="00E903AE">
            <w:pPr>
              <w:jc w:val="right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363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ind w:left="37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II/1. A </w:t>
            </w:r>
            <w:proofErr w:type="spellStart"/>
            <w:r>
              <w:rPr>
                <w:b/>
                <w:bCs/>
                <w:i/>
                <w:iCs/>
              </w:rPr>
              <w:t>Htv</w:t>
            </w:r>
            <w:proofErr w:type="spellEnd"/>
            <w:r>
              <w:rPr>
                <w:b/>
                <w:bCs/>
                <w:i/>
                <w:iCs/>
              </w:rPr>
              <w:t>. 40/C. §-a szerinti nettó árbevétel</w:t>
            </w:r>
          </w:p>
        </w:tc>
      </w:tr>
      <w:tr w:rsidR="00E903AE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Nettó árbevétel</w:t>
            </w:r>
          </w:p>
          <w:p w:rsidR="00E903AE" w:rsidRDefault="00E903AE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[2+3+4+5+6+7+8+9+10+11+12+13+14+15+16+17+18-19-20-21-22-23-24+25]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  <w:spacing w:before="120"/>
              <w:ind w:left="714" w:hanging="357"/>
            </w:pPr>
            <w:r>
              <w:t>Bevétel IFRS 15 szerint: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489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 xml:space="preserve">Más standardok által az IFRS 15 szerinti </w:t>
            </w:r>
            <w:proofErr w:type="spellStart"/>
            <w:r>
              <w:t>árbevételként</w:t>
            </w:r>
            <w:proofErr w:type="spellEnd"/>
            <w:r>
              <w:t xml:space="preserve"> elszámolni rendelt tételek: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Megszűnt tevékenységből származó árbevétel: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Bevételt nem eredményező csere keretében elcserélt áru, szolgáltatás értéke: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IFRS 15 standard 60-65. bekezdés alapján elszámolt kamat: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3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IFRS 15 standard 51. bekezdés alapján a bevételt csökkentő kötbér: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  <w:ind w:right="-279"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52. § 40. pontja szerinti közvetített szolgáltatásnak megfelelő ügylet keretében</w:t>
            </w:r>
          </w:p>
          <w:p w:rsidR="00E903AE" w:rsidRDefault="00E903AE">
            <w:pPr>
              <w:ind w:left="720" w:right="-279"/>
            </w:pPr>
            <w:r>
              <w:t>közvetített szolgáltatás bekerülési értéke: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ind w:left="63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84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Saját név alatt történt bizományosi áru-értékesítés számviteli törvény szerinti bekerülési értéke: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Bevételt keletkeztető ügyletekhez kapcsolódó fedezeti ügylet bevételcsökkentő hatása: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 xml:space="preserve">Pénzügyi lízing esetén a lízingbe adónál a lízing-futamidő kezdetekor megjelenített </w:t>
            </w:r>
            <w:r>
              <w:lastRenderedPageBreak/>
              <w:t>követelés kezdeti közvetlen költségeket nem tartalmazó ellenértéke: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Nem a szokásos tevékenység keretében keletkezett áruértékesítés, szolgáltatásnyújtás árbevétele: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Üzletág-átruházás esetén az átadott eszközök kötelezettségekkel csökkentett értékét meghaladó ellenérték: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Operatív lízingből származó árbevétel: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IFRS 15 Vevői standard 70-71. bekezdése alapján az ügyleti ár csökkenéseként elszámolt, vevőnek fizetendő ellenérték: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489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>
              <w:rPr>
                <w:i/>
                <w:iCs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79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Jogdíjbevétel: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Felszolgálási díj árbevétele: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adóhatósággal elszámolt jövedéki adó, regisztrációs adó, az alkoholos italt terhelő népegészségügyi termékadó összege:</w:t>
            </w:r>
          </w:p>
        </w:tc>
        <w:tc>
          <w:tcPr>
            <w:tcW w:w="4646" w:type="dxa"/>
            <w:gridSpan w:val="5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47"/>
          <w:jc w:val="center"/>
        </w:trPr>
        <w:tc>
          <w:tcPr>
            <w:tcW w:w="5208" w:type="dxa"/>
            <w:gridSpan w:val="3"/>
            <w:tcBorders>
              <w:bottom w:val="nil"/>
            </w:tcBorders>
            <w:vAlign w:val="center"/>
          </w:tcPr>
          <w:p w:rsidR="00E903AE" w:rsidRDefault="00E903AE">
            <w:pPr>
              <w:ind w:left="720"/>
            </w:pPr>
            <w:r>
              <w:rPr>
                <w:i/>
                <w:iCs/>
              </w:rPr>
              <w:t>A 21. sorból:</w:t>
            </w:r>
          </w:p>
        </w:tc>
        <w:tc>
          <w:tcPr>
            <w:tcW w:w="4646" w:type="dxa"/>
            <w:gridSpan w:val="5"/>
            <w:tcBorders>
              <w:bottom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03AE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903AE" w:rsidRDefault="00E903AE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 xml:space="preserve">21.1. jövedéki adó: </w:t>
            </w:r>
          </w:p>
        </w:tc>
        <w:tc>
          <w:tcPr>
            <w:tcW w:w="4646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az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Bevételt keletkeztető ügyletekhez kapcsolódó fedezeti ügylet bevételnövelő hatása: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IFRS 15 Vevői standard 60-65. bekezdése alapján elszámolt kamatráfordítás összege: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 xml:space="preserve">Az adóévet megelőző bármely adóévben figyelembe vett, a </w:t>
            </w:r>
            <w:proofErr w:type="spellStart"/>
            <w:r>
              <w:t>Htv</w:t>
            </w:r>
            <w:proofErr w:type="spellEnd"/>
            <w:r>
              <w:t xml:space="preserve">.  2016. december 31-ig hatályos (2) bekezdés </w:t>
            </w:r>
            <w:r>
              <w:rPr>
                <w:i/>
                <w:iCs/>
              </w:rPr>
              <w:t>k)</w:t>
            </w:r>
            <w:r>
              <w:t xml:space="preserve"> vagy a </w:t>
            </w:r>
            <w:r w:rsidR="0049292F">
              <w:t>2019</w:t>
            </w:r>
            <w:r>
              <w:t xml:space="preserve">. január 1-től hatályos (2) bekezdés </w:t>
            </w:r>
            <w:r>
              <w:rPr>
                <w:i/>
                <w:iCs/>
              </w:rPr>
              <w:t>m)</w:t>
            </w:r>
            <w:r>
              <w:t xml:space="preserve"> pont szerinti bevételnövelő tétel összege: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29"/>
          <w:jc w:val="center"/>
        </w:trPr>
        <w:tc>
          <w:tcPr>
            <w:tcW w:w="5208" w:type="dxa"/>
            <w:gridSpan w:val="3"/>
            <w:vAlign w:val="center"/>
          </w:tcPr>
          <w:p w:rsidR="00E903AE" w:rsidRDefault="00E903AE" w:rsidP="008748E5">
            <w:pPr>
              <w:numPr>
                <w:ilvl w:val="0"/>
                <w:numId w:val="18"/>
              </w:numPr>
            </w:pPr>
            <w:r>
              <w:t>Az IFRS 11 szerinti közös megállapodás alapján végzett tevékenység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646" w:type="dxa"/>
            <w:gridSpan w:val="5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5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*Negatív érték esetén az előjelet a számadat előtt kell feltüntetni!</w:t>
            </w:r>
          </w:p>
        </w:tc>
      </w:tr>
      <w:tr w:rsidR="00E903AE">
        <w:trPr>
          <w:trHeight w:val="294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II/2. A </w:t>
            </w:r>
            <w:proofErr w:type="spellStart"/>
            <w:r>
              <w:rPr>
                <w:b/>
                <w:bCs/>
                <w:i/>
                <w:iCs/>
              </w:rPr>
              <w:t>Htv</w:t>
            </w:r>
            <w:proofErr w:type="spellEnd"/>
            <w:r>
              <w:rPr>
                <w:b/>
                <w:bCs/>
                <w:i/>
                <w:iCs/>
              </w:rPr>
              <w:t>. 40/D. §-a szerinti nettó árbevétel</w:t>
            </w:r>
          </w:p>
        </w:tc>
      </w:tr>
      <w:tr w:rsidR="00E903AE">
        <w:trPr>
          <w:trHeight w:val="402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 xml:space="preserve">Nettó árbevétel </w:t>
            </w:r>
            <w:r>
              <w:rPr>
                <w:i/>
                <w:iCs/>
              </w:rPr>
              <w:t>[2+3+4+5+6+7+8-9-10-11+12+13]: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1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lastRenderedPageBreak/>
              <w:t>Kapott kamatként elszámolt 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8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31"/>
              </w:numPr>
            </w:pPr>
            <w:r>
              <w:t>A kamatbevétel csökkentéseként az üzleti évben elszámolt fizetett, fizetendő díjak, jutalékok összegével: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4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 nyújtott szolgáltatások után az IFRS 15 szerint elszámolt bevétel (kapott, járó díjak, jutalék összege):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79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Az IAS 32 szerinti pénzügyi instrumentum értékesítésével elért nyereség, nyereségjellegű különbözet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08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7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Operatív lízingből származó árbevétel: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2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31"/>
              </w:numPr>
            </w:pPr>
            <w:r>
              <w:t>A nem a szokásos tevékenység keretében keletkezett áruértékesítésből, szolgáltatásnyújtásból származó 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2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Az adóalany által ráfordításként elszámolt (fizetett, járó) kamat: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0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Pénzügyi lízingbe adott, kereskedelmi árunak nem minősülő eszköz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0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 saját követelés értékesítéséből keletkezett, az üzleti évben elszámolt nyereség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0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Az IFRS 11 szerinti közös megállapodás alapján végzett tevékenység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6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31"/>
              </w:numPr>
            </w:pPr>
            <w:r>
              <w:t xml:space="preserve">Megszűnt tevékenységből származó árbevétel: 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49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*Negatív érték esetén az előjelet a számadat előtt kell feltüntetni!</w:t>
            </w:r>
          </w:p>
        </w:tc>
      </w:tr>
      <w:tr w:rsidR="00E903AE">
        <w:trPr>
          <w:trHeight w:val="330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II/3. A </w:t>
            </w:r>
            <w:proofErr w:type="spellStart"/>
            <w:r>
              <w:rPr>
                <w:b/>
                <w:bCs/>
                <w:i/>
                <w:iCs/>
              </w:rPr>
              <w:t>Htv</w:t>
            </w:r>
            <w:proofErr w:type="spellEnd"/>
            <w:r>
              <w:rPr>
                <w:b/>
                <w:bCs/>
                <w:i/>
                <w:iCs/>
              </w:rPr>
              <w:t>. 40/E. §-a szerinti nettó árbevétel</w:t>
            </w:r>
          </w:p>
        </w:tc>
      </w:tr>
      <w:tr w:rsidR="00E903AE">
        <w:trPr>
          <w:trHeight w:val="25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  <w:rPr>
                <w:b/>
                <w:bCs/>
                <w:i/>
                <w:iCs/>
              </w:rPr>
            </w:pPr>
            <w:r>
              <w:t xml:space="preserve">Nettó árbevétel </w:t>
            </w:r>
            <w:r>
              <w:rPr>
                <w:i/>
                <w:iCs/>
              </w:rPr>
              <w:t>[2+3+4+5+6+7+8+9-10-11-12-13+14+15]: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Kapott kamatként elszámolt: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5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 kamatbevétel csökkentéseként az üzleti évben elszámolt fizetett, fizetendő díjak, jutalékok összegével: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4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 nyújtott szolgáltatások után az IFRS 15 szerint elszámolt bevétel (kapott, járó díjak, jutalékok összege):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4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Az IAS 32 szerinti pénzügyi instrumentum értékesítésével elért nyereség, nyereségjellegű különbözet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114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0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lastRenderedPageBreak/>
              <w:t>Operatív lízingből származó árbevétel: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782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 nem a szokásos tevékenység keretében keletkezett áruértékesítésből, szolgáltatásnyújtásból származó 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88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 xml:space="preserve">Díjbevétel: 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02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 saját követelés értékesítéséből keletkezett, az üzleti évben elszámolt nyereség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18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 xml:space="preserve"> Az adóalany által ráfordításként elszámolt kamat: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4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Pénzügyi lízingbe adott, kereskedelmi árunak nem minősülő eszköz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5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0"/>
              </w:numPr>
            </w:pPr>
            <w:r>
              <w:t>A biztosítási szerződés szerinti szolgáltatások teljesítése során elszámolt ráfordítás: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0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1"/>
              </w:numPr>
            </w:pPr>
            <w:r>
              <w:t>Az IFRS 11 szerinti közös megállapodás alapján végzett tevékenység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652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31"/>
              </w:numPr>
            </w:pPr>
            <w:r>
              <w:t>Megszűnt tevékenységből származó árbevétel: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63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  <w:tr w:rsidR="00E903AE">
        <w:trPr>
          <w:trHeight w:val="283"/>
          <w:jc w:val="center"/>
        </w:trPr>
        <w:tc>
          <w:tcPr>
            <w:tcW w:w="5353" w:type="dxa"/>
            <w:gridSpan w:val="5"/>
            <w:tcBorders>
              <w:left w:val="nil"/>
              <w:right w:val="nil"/>
            </w:tcBorders>
          </w:tcPr>
          <w:p w:rsidR="00E903AE" w:rsidRDefault="00E903AE">
            <w:pPr>
              <w:ind w:left="720"/>
            </w:pPr>
          </w:p>
        </w:tc>
        <w:tc>
          <w:tcPr>
            <w:tcW w:w="4501" w:type="dxa"/>
            <w:gridSpan w:val="3"/>
            <w:tcBorders>
              <w:left w:val="nil"/>
              <w:right w:val="nil"/>
            </w:tcBorders>
          </w:tcPr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jc w:val="center"/>
        </w:trPr>
        <w:tc>
          <w:tcPr>
            <w:tcW w:w="5353" w:type="dxa"/>
            <w:gridSpan w:val="5"/>
            <w:tcBorders>
              <w:bottom w:val="nil"/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left w:val="nil"/>
              <w:bottom w:val="nil"/>
            </w:tcBorders>
            <w:vAlign w:val="center"/>
          </w:tcPr>
          <w:p w:rsidR="00E903AE" w:rsidRDefault="00E903AE">
            <w:pPr>
              <w:jc w:val="right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</w:tcBorders>
          </w:tcPr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 xml:space="preserve">Eladott áruk beszerzési értéke </w:t>
            </w:r>
            <w:r>
              <w:rPr>
                <w:i/>
                <w:iCs/>
              </w:rPr>
              <w:t>[2+3+4+5+6+7-8+9+10]:</w:t>
            </w:r>
          </w:p>
        </w:tc>
        <w:tc>
          <w:tcPr>
            <w:tcW w:w="4501" w:type="dxa"/>
            <w:gridSpan w:val="3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  <w:tcBorders>
              <w:top w:val="nil"/>
            </w:tcBorders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>Kereskedelmi áruk értékesítéskor nyilvántartott könyv szerinti értéke:</w:t>
            </w:r>
          </w:p>
        </w:tc>
        <w:tc>
          <w:tcPr>
            <w:tcW w:w="4501" w:type="dxa"/>
            <w:gridSpan w:val="3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190"/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19"/>
              </w:numPr>
            </w:pPr>
            <w:r>
              <w:t>A kereskedelmi áru beszerzési költségének meghatározása során figyelembe vett, a számvitelről szóló törvény szerinti – nem számlázott – utólag kapott (járó) engedmény szerződés szerinti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>
              <w:rPr>
                <w:i/>
                <w:iCs/>
              </w:rPr>
              <w:t>a)</w:t>
            </w:r>
            <w:r>
              <w:t xml:space="preserve"> pontjában említett csere esetén a cserébe kapott készlet csereszerződés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>Pénzügyi lízingbe adott, kereskedelmi árunak nem minősülő eszköz pénzügyi lízingbe adáskor meglévő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19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>
              <w:rPr>
                <w:i/>
                <w:iCs/>
              </w:rPr>
              <w:t>e)</w:t>
            </w:r>
            <w:r>
              <w:t xml:space="preserve"> pontja alapján az értékesített termék (ingó, ingatlan) számvitelről szóló törvény szerint megállapítandó bekerülési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>Nem a szokásos tevékenység keretében értékesített áru, telek vagy más ingatlan értékesítéskori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 xml:space="preserve">Az adóévet megelőző </w:t>
            </w:r>
            <w:proofErr w:type="spellStart"/>
            <w:r>
              <w:t>adóév</w:t>
            </w:r>
            <w:proofErr w:type="spellEnd"/>
            <w:r>
              <w:t>(</w:t>
            </w:r>
            <w:proofErr w:type="spellStart"/>
            <w:r>
              <w:t>ek</w:t>
            </w:r>
            <w:proofErr w:type="spellEnd"/>
            <w:r>
              <w:t>)</w:t>
            </w:r>
            <w:proofErr w:type="spellStart"/>
            <w:r>
              <w:t>ben</w:t>
            </w:r>
            <w:proofErr w:type="spellEnd"/>
            <w:r>
              <w:t xml:space="preserve"> a </w:t>
            </w:r>
            <w:proofErr w:type="spellStart"/>
            <w:r>
              <w:t>Htv</w:t>
            </w:r>
            <w:proofErr w:type="spellEnd"/>
            <w:r>
              <w:t xml:space="preserve">. 40/F. § (2) bekezdés </w:t>
            </w:r>
            <w:r>
              <w:rPr>
                <w:i/>
                <w:iCs/>
              </w:rPr>
              <w:t>d)</w:t>
            </w:r>
            <w:r>
              <w:t xml:space="preserve"> pontja szerint a könyv szerinti érték növeléseként már figyelembe </w:t>
            </w:r>
            <w:r>
              <w:lastRenderedPageBreak/>
              <w:t>vett összeg, ha az IFRS-ek alkalmazásából az következik, hogy az az adóévben az (1) és (2) bekezdés szerint a könyv szerinti érték összegét növeli: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19"/>
              </w:numPr>
            </w:pPr>
            <w:r>
              <w:t xml:space="preserve">Az IFRS 11 szerinti közös megállapodás alapján végzett tevékenység nettó </w:t>
            </w:r>
            <w:proofErr w:type="spellStart"/>
            <w:r>
              <w:t>elábé</w:t>
            </w:r>
            <w:proofErr w:type="spellEnd"/>
          </w:p>
          <w:p w:rsidR="00E903AE" w:rsidRDefault="00E903AE">
            <w:pPr>
              <w:ind w:left="720"/>
            </w:pPr>
            <w:r>
              <w:t>(+,-):*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94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19"/>
              </w:numPr>
            </w:pPr>
            <w:r>
              <w:t xml:space="preserve">Megszűnt tevékenységből származó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49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  <w:tr w:rsidR="00E903AE">
        <w:trPr>
          <w:trHeight w:val="283"/>
          <w:jc w:val="center"/>
        </w:trPr>
        <w:tc>
          <w:tcPr>
            <w:tcW w:w="9854" w:type="dxa"/>
            <w:gridSpan w:val="8"/>
            <w:tcBorders>
              <w:left w:val="nil"/>
              <w:bottom w:val="nil"/>
              <w:right w:val="nil"/>
            </w:tcBorders>
          </w:tcPr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trHeight w:val="449"/>
          <w:jc w:val="center"/>
        </w:trPr>
        <w:tc>
          <w:tcPr>
            <w:tcW w:w="5353" w:type="dxa"/>
            <w:gridSpan w:val="5"/>
            <w:tcBorders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Anyagköltség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  <w:tc>
          <w:tcPr>
            <w:tcW w:w="4501" w:type="dxa"/>
            <w:gridSpan w:val="3"/>
            <w:tcBorders>
              <w:left w:val="nil"/>
            </w:tcBorders>
            <w:vAlign w:val="center"/>
          </w:tcPr>
          <w:p w:rsidR="00E903AE" w:rsidRDefault="00E903AE">
            <w:pPr>
              <w:jc w:val="right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27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0"/>
              </w:numPr>
            </w:pPr>
            <w:r>
              <w:t xml:space="preserve">Anyagköltség </w:t>
            </w:r>
            <w:r>
              <w:rPr>
                <w:i/>
                <w:iCs/>
              </w:rPr>
              <w:t>[2+3-4+5+6]: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1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20"/>
              </w:numPr>
            </w:pPr>
            <w:r>
              <w:t>Az anyag üzleti évben ráfordításként elszámolt felhasználáskori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8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0"/>
              </w:numPr>
            </w:pPr>
            <w:r>
              <w:t>Az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rabattok és hasonló tételek összege: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44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0"/>
              </w:numPr>
            </w:pPr>
            <w:r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01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0"/>
              </w:numPr>
            </w:pPr>
            <w:r>
              <w:t>Az IFRS 11 szerinti közös megállapodás alapján végzett tevékenység anyagköltsége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8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20"/>
              </w:numPr>
              <w:rPr>
                <w:b/>
                <w:bCs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49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  <w:tr w:rsidR="00E903AE">
        <w:trPr>
          <w:trHeight w:val="283"/>
          <w:jc w:val="center"/>
        </w:trPr>
        <w:tc>
          <w:tcPr>
            <w:tcW w:w="9854" w:type="dxa"/>
            <w:gridSpan w:val="8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407"/>
          <w:jc w:val="center"/>
        </w:trPr>
        <w:tc>
          <w:tcPr>
            <w:tcW w:w="5353" w:type="dxa"/>
            <w:gridSpan w:val="5"/>
            <w:tcBorders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Közvetített szolgáltatások értéke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  <w:tc>
          <w:tcPr>
            <w:tcW w:w="4501" w:type="dxa"/>
            <w:gridSpan w:val="3"/>
            <w:tcBorders>
              <w:left w:val="nil"/>
            </w:tcBorders>
            <w:vAlign w:val="center"/>
          </w:tcPr>
          <w:p w:rsidR="00E903AE" w:rsidRDefault="00E903AE">
            <w:pPr>
              <w:jc w:val="right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271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9"/>
              </w:numPr>
            </w:pPr>
            <w:r>
              <w:t>Közvetített szolgáltatások értéke</w:t>
            </w:r>
          </w:p>
          <w:p w:rsidR="00E903AE" w:rsidRDefault="00E903AE">
            <w:pPr>
              <w:ind w:left="720"/>
            </w:pPr>
            <w:r>
              <w:rPr>
                <w:i/>
                <w:iCs/>
              </w:rPr>
              <w:t>[2+3+4+5]: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43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>
            <w:pPr>
              <w:ind w:left="720"/>
            </w:pPr>
          </w:p>
          <w:p w:rsidR="00E903AE" w:rsidRDefault="00E903AE" w:rsidP="008748E5">
            <w:pPr>
              <w:numPr>
                <w:ilvl w:val="0"/>
                <w:numId w:val="29"/>
              </w:numPr>
            </w:pPr>
            <w:r>
              <w:t>Az IFRS-ek szerint nem ügynökként közvetített szolgáltatások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100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9"/>
              </w:numPr>
            </w:pPr>
            <w:r>
              <w:lastRenderedPageBreak/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>
              <w:rPr>
                <w:i/>
                <w:iCs/>
              </w:rPr>
              <w:t>e)</w:t>
            </w:r>
            <w:r>
              <w:t xml:space="preserve"> pontja alapján bevételnövelő tételként figyelembe vett szolgáltatásnyújtás esetén a közvetített szolgáltatás könyv szerinti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29"/>
              </w:numPr>
            </w:pPr>
            <w:r>
              <w:t>Az IFRS 11 szerinti közös megállapodás alapján végzett tevékenység keretében közvetített szolgáltatások értéke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1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9"/>
              </w:numPr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23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  <w:tr w:rsidR="00E903AE">
        <w:trPr>
          <w:trHeight w:val="283"/>
          <w:jc w:val="center"/>
        </w:trPr>
        <w:tc>
          <w:tcPr>
            <w:tcW w:w="9854" w:type="dxa"/>
            <w:gridSpan w:val="8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454"/>
          <w:jc w:val="center"/>
        </w:trPr>
        <w:tc>
          <w:tcPr>
            <w:tcW w:w="5353" w:type="dxa"/>
            <w:gridSpan w:val="5"/>
            <w:tcBorders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Alvállalkozói teljesítés értéke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  <w:tc>
          <w:tcPr>
            <w:tcW w:w="4501" w:type="dxa"/>
            <w:gridSpan w:val="3"/>
            <w:tcBorders>
              <w:left w:val="nil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trHeight w:val="28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7"/>
              </w:numPr>
            </w:pPr>
            <w:r>
              <w:t>Alvállalkozói teljesítés értéke (2+3):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815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>
            <w:pPr>
              <w:ind w:left="720"/>
            </w:pPr>
          </w:p>
          <w:p w:rsidR="00E903AE" w:rsidRDefault="00E903AE" w:rsidP="008748E5">
            <w:pPr>
              <w:numPr>
                <w:ilvl w:val="0"/>
                <w:numId w:val="37"/>
              </w:numPr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37"/>
              </w:numPr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00"/>
          <w:jc w:val="center"/>
        </w:trPr>
        <w:tc>
          <w:tcPr>
            <w:tcW w:w="9854" w:type="dxa"/>
            <w:gridSpan w:val="8"/>
            <w:tcBorders>
              <w:left w:val="nil"/>
              <w:right w:val="nil"/>
            </w:tcBorders>
            <w:vAlign w:val="center"/>
          </w:tcPr>
          <w:p w:rsidR="00E903AE" w:rsidRDefault="00E903AE">
            <w:pPr>
              <w:ind w:left="720"/>
              <w:rPr>
                <w:b/>
                <w:bCs/>
              </w:rPr>
            </w:pPr>
          </w:p>
        </w:tc>
      </w:tr>
      <w:tr w:rsidR="00E903AE">
        <w:trPr>
          <w:trHeight w:val="586"/>
          <w:jc w:val="center"/>
        </w:trPr>
        <w:tc>
          <w:tcPr>
            <w:tcW w:w="5353" w:type="dxa"/>
            <w:gridSpan w:val="5"/>
            <w:tcBorders>
              <w:right w:val="nil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Áttérési különbözet az IFRS-ek első alkalmazásakor</w:t>
            </w:r>
          </w:p>
          <w:p w:rsidR="00E903AE" w:rsidRDefault="00E903AE">
            <w:pPr>
              <w:rPr>
                <w:b/>
                <w:bCs/>
              </w:rPr>
            </w:pPr>
          </w:p>
        </w:tc>
        <w:tc>
          <w:tcPr>
            <w:tcW w:w="4501" w:type="dxa"/>
            <w:gridSpan w:val="3"/>
            <w:tcBorders>
              <w:left w:val="nil"/>
            </w:tcBorders>
            <w:vAlign w:val="center"/>
          </w:tcPr>
          <w:p w:rsidR="00E903AE" w:rsidRDefault="00E903AE">
            <w:pPr>
              <w:jc w:val="right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</w:rPr>
              <w:t>(forintban)</w:t>
            </w:r>
          </w:p>
        </w:tc>
      </w:tr>
      <w:tr w:rsidR="00E903AE">
        <w:trPr>
          <w:trHeight w:val="346"/>
          <w:jc w:val="center"/>
        </w:trPr>
        <w:tc>
          <w:tcPr>
            <w:tcW w:w="5353" w:type="dxa"/>
            <w:gridSpan w:val="5"/>
            <w:vAlign w:val="center"/>
          </w:tcPr>
          <w:p w:rsidR="00E903AE" w:rsidRDefault="00E903AE" w:rsidP="008748E5">
            <w:pPr>
              <w:numPr>
                <w:ilvl w:val="0"/>
                <w:numId w:val="24"/>
              </w:numPr>
              <w:rPr>
                <w:b/>
                <w:bCs/>
              </w:rPr>
            </w:pPr>
            <w:r>
              <w:t xml:space="preserve">Az áttérési különbözet összege </w:t>
            </w:r>
            <w:r>
              <w:rPr>
                <w:i/>
                <w:iCs/>
              </w:rPr>
              <w:t>[2-3]</w:t>
            </w:r>
            <w:r>
              <w:t xml:space="preserve">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924"/>
          <w:jc w:val="center"/>
        </w:trPr>
        <w:tc>
          <w:tcPr>
            <w:tcW w:w="5353" w:type="dxa"/>
            <w:gridSpan w:val="5"/>
            <w:tcBorders>
              <w:bottom w:val="nil"/>
            </w:tcBorders>
            <w:vAlign w:val="center"/>
          </w:tcPr>
          <w:p w:rsidR="00E903AE" w:rsidRDefault="00E903AE">
            <w:pPr>
              <w:spacing w:after="60"/>
              <w:ind w:left="714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4"/>
              </w:numPr>
              <w:spacing w:after="60"/>
              <w:ind w:left="714" w:hanging="357"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40/J. § (1) bekezdés </w:t>
            </w:r>
            <w:r>
              <w:rPr>
                <w:i/>
                <w:iCs/>
              </w:rPr>
              <w:t xml:space="preserve">a) </w:t>
            </w:r>
            <w:r>
              <w:t>pont szerinti áttérési különbözet:</w:t>
            </w:r>
          </w:p>
        </w:tc>
        <w:tc>
          <w:tcPr>
            <w:tcW w:w="4501" w:type="dxa"/>
            <w:gridSpan w:val="3"/>
            <w:tcBorders>
              <w:bottom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Htv</w:t>
            </w:r>
            <w:proofErr w:type="spellEnd"/>
            <w:r>
              <w:rPr>
                <w:i/>
                <w:iCs/>
              </w:rPr>
              <w:t xml:space="preserve">. 40/J. § (1) bekezdés a) pont </w:t>
            </w:r>
            <w:proofErr w:type="spellStart"/>
            <w:r>
              <w:rPr>
                <w:i/>
                <w:iCs/>
              </w:rPr>
              <w:t>aa</w:t>
            </w:r>
            <w:proofErr w:type="spellEnd"/>
            <w:r>
              <w:rPr>
                <w:i/>
                <w:iCs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  <w:iCs/>
              </w:rPr>
            </w:pPr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Htv</w:t>
            </w:r>
            <w:proofErr w:type="spellEnd"/>
            <w:r>
              <w:rPr>
                <w:i/>
                <w:iCs/>
              </w:rPr>
              <w:t>. 40/J. § (1) bekezdés a) pont ab)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61"/>
          <w:jc w:val="center"/>
        </w:trPr>
        <w:tc>
          <w:tcPr>
            <w:tcW w:w="5353" w:type="dxa"/>
            <w:gridSpan w:val="5"/>
            <w:tcBorders>
              <w:bottom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0"/>
                <w:numId w:val="24"/>
              </w:numPr>
              <w:spacing w:after="60"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40/J. § (1) bekezdés </w:t>
            </w:r>
            <w:r>
              <w:rPr>
                <w:i/>
                <w:iCs/>
              </w:rPr>
              <w:t>b)</w:t>
            </w:r>
            <w:r>
              <w:t xml:space="preserve"> pont szerinti különbözet:</w:t>
            </w:r>
          </w:p>
        </w:tc>
        <w:tc>
          <w:tcPr>
            <w:tcW w:w="4501" w:type="dxa"/>
            <w:gridSpan w:val="3"/>
            <w:tcBorders>
              <w:bottom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>
              <w:rPr>
                <w:i/>
                <w:iCs/>
              </w:rPr>
              <w:t xml:space="preserve">A </w:t>
            </w:r>
            <w:proofErr w:type="spellStart"/>
            <w:r>
              <w:rPr>
                <w:i/>
                <w:iCs/>
              </w:rPr>
              <w:t>Htv</w:t>
            </w:r>
            <w:proofErr w:type="spellEnd"/>
            <w:r>
              <w:rPr>
                <w:i/>
                <w:iCs/>
              </w:rPr>
              <w:t xml:space="preserve">. 40/J. § (1) bekezdés b) pont </w:t>
            </w:r>
            <w:proofErr w:type="spellStart"/>
            <w:r>
              <w:rPr>
                <w:i/>
                <w:iCs/>
              </w:rPr>
              <w:t>ba</w:t>
            </w:r>
            <w:proofErr w:type="spellEnd"/>
            <w:r>
              <w:rPr>
                <w:i/>
                <w:iCs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:rsidR="00E903AE" w:rsidRDefault="00E903AE" w:rsidP="008748E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  <w:iCs/>
              </w:rPr>
            </w:pPr>
            <w:r>
              <w:rPr>
                <w:i/>
                <w:iCs/>
              </w:rPr>
              <w:t xml:space="preserve">A </w:t>
            </w:r>
            <w:proofErr w:type="spellStart"/>
            <w:r>
              <w:rPr>
                <w:i/>
                <w:iCs/>
              </w:rPr>
              <w:t>Htv</w:t>
            </w:r>
            <w:proofErr w:type="spellEnd"/>
            <w:r>
              <w:rPr>
                <w:i/>
                <w:iCs/>
              </w:rPr>
              <w:t xml:space="preserve">. 40/J. § (1) bekezdés b) pont </w:t>
            </w:r>
            <w:proofErr w:type="spellStart"/>
            <w:r>
              <w:rPr>
                <w:i/>
                <w:iCs/>
              </w:rPr>
              <w:t>bb</w:t>
            </w:r>
            <w:proofErr w:type="spellEnd"/>
            <w:r>
              <w:rPr>
                <w:i/>
                <w:iCs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193"/>
          <w:jc w:val="center"/>
        </w:trPr>
        <w:tc>
          <w:tcPr>
            <w:tcW w:w="9854" w:type="dxa"/>
            <w:gridSpan w:val="8"/>
            <w:vAlign w:val="center"/>
          </w:tcPr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  <w:tr w:rsidR="00E903AE">
        <w:trPr>
          <w:trHeight w:val="283"/>
          <w:jc w:val="center"/>
        </w:trPr>
        <w:tc>
          <w:tcPr>
            <w:tcW w:w="9854" w:type="dxa"/>
            <w:gridSpan w:val="8"/>
            <w:tcBorders>
              <w:left w:val="nil"/>
            </w:tcBorders>
          </w:tcPr>
          <w:p w:rsidR="00E903AE" w:rsidRDefault="00E903A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4501"/>
            </w:tblGrid>
            <w:tr w:rsidR="00E903AE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903AE" w:rsidRDefault="00E903AE">
                  <w:pPr>
                    <w:ind w:left="1080"/>
                    <w:rPr>
                      <w:b/>
                      <w:bCs/>
                    </w:rPr>
                  </w:pPr>
                </w:p>
                <w:p w:rsidR="00E903AE" w:rsidRDefault="00E903AE" w:rsidP="008748E5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Áttérési különbözet az IFRS-ek számviteli politika változásakor</w:t>
                  </w:r>
                </w:p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right"/>
                    <w:rPr>
                      <w:i/>
                      <w:iCs/>
                      <w:sz w:val="48"/>
                      <w:szCs w:val="48"/>
                    </w:rPr>
                  </w:pPr>
                  <w:r>
                    <w:rPr>
                      <w:i/>
                      <w:iCs/>
                    </w:rPr>
                    <w:t>(forintban)</w:t>
                  </w:r>
                </w:p>
              </w:tc>
            </w:tr>
            <w:tr w:rsidR="00E903AE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45"/>
                    </w:numPr>
                    <w:rPr>
                      <w:b/>
                      <w:bCs/>
                    </w:rPr>
                  </w:pPr>
                  <w:r>
                    <w:t xml:space="preserve">Az áttérési különbözet összege </w:t>
                  </w:r>
                  <w:r>
                    <w:rPr>
                      <w:i/>
                      <w:iCs/>
                    </w:rPr>
                    <w:t>[2-3]</w:t>
                  </w:r>
                  <w:r>
                    <w:t xml:space="preserve"> (</w:t>
                  </w:r>
                  <w:proofErr w:type="gramStart"/>
                  <w:r>
                    <w:t>+,-</w:t>
                  </w:r>
                  <w:proofErr w:type="gramEnd"/>
                  <w:r>
                    <w:t>):*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spacing w:after="60"/>
                    <w:ind w:left="720"/>
                    <w:rPr>
                      <w:b/>
                      <w:bCs/>
                    </w:rPr>
                  </w:pPr>
                </w:p>
                <w:p w:rsidR="00E903AE" w:rsidRDefault="00E903AE" w:rsidP="008748E5">
                  <w:pPr>
                    <w:numPr>
                      <w:ilvl w:val="0"/>
                      <w:numId w:val="45"/>
                    </w:numPr>
                    <w:spacing w:after="60"/>
                    <w:rPr>
                      <w:b/>
                      <w:bCs/>
                    </w:rPr>
                  </w:pPr>
                  <w:r>
                    <w:t xml:space="preserve">A </w:t>
                  </w:r>
                  <w:proofErr w:type="spellStart"/>
                  <w:r>
                    <w:t>Htv</w:t>
                  </w:r>
                  <w:proofErr w:type="spellEnd"/>
                  <w:r>
                    <w:t xml:space="preserve">. 40/J. § (3) bekezdés </w:t>
                  </w:r>
                  <w:r>
                    <w:rPr>
                      <w:i/>
                      <w:iCs/>
                    </w:rPr>
                    <w:t xml:space="preserve">a) </w:t>
                  </w:r>
                  <w:r>
                    <w:t>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pStyle w:val="Listaszerbekezds"/>
                    <w:numPr>
                      <w:ilvl w:val="1"/>
                      <w:numId w:val="45"/>
                    </w:numPr>
                    <w:spacing w:after="60"/>
                    <w:ind w:left="1064" w:hanging="284"/>
                  </w:pPr>
                  <w:r>
                    <w:rPr>
                      <w:i/>
                      <w:iCs/>
                    </w:rPr>
                    <w:t xml:space="preserve">A </w:t>
                  </w:r>
                  <w:proofErr w:type="spellStart"/>
                  <w:r>
                    <w:rPr>
                      <w:i/>
                      <w:iCs/>
                    </w:rPr>
                    <w:t>Htv</w:t>
                  </w:r>
                  <w:proofErr w:type="spellEnd"/>
                  <w:r>
                    <w:rPr>
                      <w:i/>
                      <w:iCs/>
                    </w:rPr>
                    <w:t xml:space="preserve">. 40/J § (3) bekezdés a) pont </w:t>
                  </w:r>
                  <w:proofErr w:type="spellStart"/>
                  <w:r>
                    <w:rPr>
                      <w:i/>
                      <w:iCs/>
                    </w:rPr>
                    <w:t>aa</w:t>
                  </w:r>
                  <w:proofErr w:type="spellEnd"/>
                  <w:r>
                    <w:rPr>
                      <w:i/>
                      <w:iCs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pStyle w:val="Listaszerbekezds"/>
                    <w:numPr>
                      <w:ilvl w:val="1"/>
                      <w:numId w:val="45"/>
                    </w:numPr>
                    <w:spacing w:after="60"/>
                    <w:ind w:left="1064" w:hanging="28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A </w:t>
                  </w:r>
                  <w:proofErr w:type="spellStart"/>
                  <w:r>
                    <w:rPr>
                      <w:i/>
                      <w:iCs/>
                    </w:rPr>
                    <w:t>Htv</w:t>
                  </w:r>
                  <w:proofErr w:type="spellEnd"/>
                  <w:r>
                    <w:rPr>
                      <w:i/>
                      <w:iCs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45"/>
                    </w:numPr>
                    <w:spacing w:after="60"/>
                    <w:ind w:left="714" w:hanging="357"/>
                  </w:pPr>
                  <w:r>
                    <w:t xml:space="preserve">A </w:t>
                  </w:r>
                  <w:proofErr w:type="spellStart"/>
                  <w:r>
                    <w:t>Htv</w:t>
                  </w:r>
                  <w:proofErr w:type="spellEnd"/>
                  <w:r>
                    <w:t xml:space="preserve">. 40/J. § (3) bekezdés </w:t>
                  </w:r>
                  <w:r>
                    <w:rPr>
                      <w:i/>
                      <w:iCs/>
                    </w:rPr>
                    <w:t>b)</w:t>
                  </w:r>
                  <w:r>
                    <w:t xml:space="preserve"> pont szerinti különbözet: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pStyle w:val="Listaszerbekezds"/>
                    <w:numPr>
                      <w:ilvl w:val="1"/>
                      <w:numId w:val="45"/>
                    </w:numPr>
                    <w:ind w:left="1064" w:hanging="284"/>
                  </w:pPr>
                  <w:r>
                    <w:rPr>
                      <w:i/>
                      <w:iCs/>
                    </w:rPr>
                    <w:t xml:space="preserve">A </w:t>
                  </w:r>
                  <w:proofErr w:type="spellStart"/>
                  <w:r>
                    <w:rPr>
                      <w:i/>
                      <w:iCs/>
                    </w:rPr>
                    <w:t>Htv</w:t>
                  </w:r>
                  <w:proofErr w:type="spellEnd"/>
                  <w:r>
                    <w:rPr>
                      <w:i/>
                      <w:iCs/>
                    </w:rPr>
                    <w:t xml:space="preserve">. 40/J. § (3) bekezdés b) pont </w:t>
                  </w:r>
                  <w:proofErr w:type="spellStart"/>
                  <w:r>
                    <w:rPr>
                      <w:i/>
                      <w:iCs/>
                    </w:rPr>
                    <w:t>ba</w:t>
                  </w:r>
                  <w:proofErr w:type="spellEnd"/>
                  <w:r>
                    <w:rPr>
                      <w:i/>
                      <w:iCs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pStyle w:val="Listaszerbekezds"/>
                    <w:numPr>
                      <w:ilvl w:val="1"/>
                      <w:numId w:val="45"/>
                    </w:numPr>
                    <w:ind w:left="1064" w:hanging="28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A </w:t>
                  </w:r>
                  <w:proofErr w:type="spellStart"/>
                  <w:r>
                    <w:rPr>
                      <w:i/>
                      <w:iCs/>
                    </w:rPr>
                    <w:t>Htv</w:t>
                  </w:r>
                  <w:proofErr w:type="spellEnd"/>
                  <w:r>
                    <w:rPr>
                      <w:i/>
                      <w:iCs/>
                    </w:rPr>
                    <w:t xml:space="preserve">. 40/J. § (3) bekezdés b) pont </w:t>
                  </w:r>
                  <w:proofErr w:type="spellStart"/>
                  <w:r>
                    <w:rPr>
                      <w:i/>
                      <w:iCs/>
                    </w:rPr>
                    <w:t>bb</w:t>
                  </w:r>
                  <w:proofErr w:type="spellEnd"/>
                  <w:r>
                    <w:rPr>
                      <w:i/>
                      <w:iCs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□ □□□ □□□ □□□ □□□</w:t>
                  </w:r>
                </w:p>
              </w:tc>
            </w:tr>
            <w:tr w:rsidR="00E903AE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* Negatív érték esetén az előjelet a számadat előtt kell feltüntetni!</w:t>
                  </w:r>
                </w:p>
              </w:tc>
            </w:tr>
          </w:tbl>
          <w:p w:rsidR="00E903AE" w:rsidRDefault="00E903AE"/>
        </w:tc>
      </w:tr>
      <w:tr w:rsidR="00E903AE">
        <w:trPr>
          <w:jc w:val="center"/>
        </w:trPr>
        <w:tc>
          <w:tcPr>
            <w:tcW w:w="9854" w:type="dxa"/>
            <w:gridSpan w:val="8"/>
            <w:tcBorders>
              <w:bottom w:val="nil"/>
            </w:tcBorders>
          </w:tcPr>
          <w:p w:rsidR="00E903AE" w:rsidRDefault="00E903AE"/>
        </w:tc>
      </w:tr>
      <w:tr w:rsidR="00E903AE">
        <w:trPr>
          <w:jc w:val="center"/>
        </w:trPr>
        <w:tc>
          <w:tcPr>
            <w:tcW w:w="3001" w:type="dxa"/>
            <w:tcBorders>
              <w:top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686"/>
          <w:jc w:val="center"/>
        </w:trPr>
        <w:tc>
          <w:tcPr>
            <w:tcW w:w="3001" w:type="dxa"/>
            <w:tcBorders>
              <w:top w:val="nil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>
      <w:pPr>
        <w:ind w:right="-285"/>
        <w:jc w:val="right"/>
        <w:rPr>
          <w:i/>
          <w:iCs/>
        </w:rPr>
      </w:pPr>
    </w:p>
    <w:p w:rsidR="00E903AE" w:rsidRDefault="00E903AE">
      <w:pPr>
        <w:rPr>
          <w:i/>
          <w:iCs/>
        </w:rPr>
      </w:pPr>
      <w:r>
        <w:rPr>
          <w:i/>
          <w:iCs/>
        </w:rPr>
        <w:br w:type="page"/>
      </w:r>
    </w:p>
    <w:p w:rsidR="00E903AE" w:rsidRDefault="00E903AE">
      <w:pPr>
        <w:ind w:right="-285"/>
        <w:jc w:val="right"/>
        <w:rPr>
          <w:i/>
          <w:i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1652"/>
        <w:gridCol w:w="796"/>
        <w:gridCol w:w="796"/>
        <w:gridCol w:w="3577"/>
      </w:tblGrid>
      <w:tr w:rsidR="00E903AE">
        <w:trPr>
          <w:trHeight w:val="1992"/>
        </w:trPr>
        <w:tc>
          <w:tcPr>
            <w:tcW w:w="9889" w:type="dxa"/>
            <w:gridSpan w:val="5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„J” jelű betétlap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</w:p>
          <w:p w:rsidR="00E903AE" w:rsidRDefault="0049292F">
            <w:pPr>
              <w:jc w:val="center"/>
              <w:rPr>
                <w:b/>
                <w:bCs/>
                <w:caps/>
              </w:rPr>
            </w:pPr>
            <w:r>
              <w:t>2019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E903AE">
              <w:t xml:space="preserve"> illetékességi területén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a közös őstermelői igazolvánnyal rendelkező adóalanyok és családi gazdaság adóalany tagjainak nyilatkozata</w:t>
            </w:r>
          </w:p>
        </w:tc>
      </w:tr>
      <w:tr w:rsidR="00E903AE">
        <w:trPr>
          <w:trHeight w:val="170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c>
          <w:tcPr>
            <w:tcW w:w="9889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Nyilatkozat</w:t>
            </w:r>
          </w:p>
        </w:tc>
      </w:tr>
      <w:tr w:rsidR="00E903AE"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az adószámmal rendelkező adóalany, családi gazdálkodó adóalany nyújt be bevallást.  </w:t>
            </w:r>
          </w:p>
          <w:p w:rsidR="00E903AE" w:rsidRDefault="00E903AE">
            <w:pPr>
              <w:pStyle w:val="Listaszerbekezds"/>
              <w:ind w:left="6804"/>
              <w:jc w:val="both"/>
            </w:pPr>
          </w:p>
          <w:p w:rsidR="00E903AE" w:rsidRDefault="00E903A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E903AE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c>
          <w:tcPr>
            <w:tcW w:w="9889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Adóalanyok adatai</w:t>
            </w:r>
          </w:p>
        </w:tc>
      </w:tr>
      <w:tr w:rsidR="00E903AE">
        <w:trPr>
          <w:trHeight w:val="1080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3"/>
              </w:numPr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>
              <w:rPr>
                <w:sz w:val="48"/>
                <w:szCs w:val="48"/>
              </w:rPr>
              <w:t xml:space="preserve"> □□□□□□□□</w:t>
            </w:r>
            <w:r>
              <w:rPr>
                <w:b/>
                <w:bCs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□</w:t>
            </w:r>
            <w:r>
              <w:rPr>
                <w:b/>
                <w:bCs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□□</w:t>
            </w:r>
          </w:p>
          <w:p w:rsidR="00E903AE" w:rsidRDefault="00E903AE">
            <w:pPr>
              <w:pStyle w:val="Listaszerbekezds"/>
            </w:pPr>
          </w:p>
        </w:tc>
      </w:tr>
      <w:tr w:rsidR="00E903AE">
        <w:trPr>
          <w:trHeight w:val="1531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rPr>
          <w:trHeight w:val="1738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709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rPr>
          <w:trHeight w:val="1168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709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709"/>
            </w:pPr>
          </w:p>
        </w:tc>
      </w:tr>
      <w:tr w:rsidR="00E903AE">
        <w:trPr>
          <w:trHeight w:val="475"/>
        </w:trPr>
        <w:tc>
          <w:tcPr>
            <w:tcW w:w="9889" w:type="dxa"/>
            <w:gridSpan w:val="5"/>
            <w:vAlign w:val="center"/>
          </w:tcPr>
          <w:p w:rsidR="00E903AE" w:rsidRDefault="00E903AE">
            <w:pPr>
              <w:pStyle w:val="Listaszerbekezds"/>
              <w:ind w:left="0"/>
            </w:pPr>
            <w:r>
              <w:rPr>
                <w:i/>
                <w:iCs/>
                <w:sz w:val="22"/>
                <w:szCs w:val="22"/>
              </w:rPr>
              <w:t>*4-nél több adóalany esetén egy másik „J” jelű lapot is ki kell tölteni!</w:t>
            </w:r>
          </w:p>
        </w:tc>
      </w:tr>
      <w:tr w:rsidR="00E903AE">
        <w:tc>
          <w:tcPr>
            <w:tcW w:w="9889" w:type="dxa"/>
            <w:gridSpan w:val="5"/>
            <w:tcBorders>
              <w:left w:val="nil"/>
              <w:bottom w:val="nil"/>
              <w:right w:val="nil"/>
            </w:tcBorders>
          </w:tcPr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c>
          <w:tcPr>
            <w:tcW w:w="3068" w:type="dxa"/>
            <w:vAlign w:val="bottom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E903AE">
        <w:tc>
          <w:tcPr>
            <w:tcW w:w="3068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helység</w:t>
            </w:r>
          </w:p>
        </w:tc>
        <w:tc>
          <w:tcPr>
            <w:tcW w:w="1652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év</w:t>
            </w:r>
          </w:p>
        </w:tc>
        <w:tc>
          <w:tcPr>
            <w:tcW w:w="796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hó</w:t>
            </w:r>
          </w:p>
        </w:tc>
        <w:tc>
          <w:tcPr>
            <w:tcW w:w="796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nap</w:t>
            </w:r>
          </w:p>
        </w:tc>
        <w:tc>
          <w:tcPr>
            <w:tcW w:w="3577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 w:rsidP="00AE3DD1">
      <w:pPr>
        <w:rPr>
          <w:sz w:val="28"/>
          <w:szCs w:val="28"/>
        </w:rPr>
      </w:pPr>
    </w:p>
    <w:sectPr w:rsidR="00E903AE" w:rsidSect="00E903AE">
      <w:footerReference w:type="default" r:id="rId9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05" w:rsidRDefault="00CB7B05">
      <w:r>
        <w:separator/>
      </w:r>
    </w:p>
  </w:endnote>
  <w:endnote w:type="continuationSeparator" w:id="0">
    <w:p w:rsidR="00CB7B05" w:rsidRDefault="00CB7B05">
      <w:r>
        <w:continuationSeparator/>
      </w:r>
    </w:p>
  </w:endnote>
  <w:endnote w:type="continuationNotice" w:id="1">
    <w:p w:rsidR="00CB7B05" w:rsidRDefault="00CB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7" w:rsidRDefault="0035783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F2E38">
      <w:rPr>
        <w:noProof/>
      </w:rPr>
      <w:t>6</w:t>
    </w:r>
    <w:r>
      <w:rPr>
        <w:noProof/>
      </w:rPr>
      <w:fldChar w:fldCharType="end"/>
    </w:r>
  </w:p>
  <w:p w:rsidR="00357837" w:rsidRDefault="003578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7" w:rsidRDefault="0035783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F2E38">
      <w:rPr>
        <w:noProof/>
      </w:rPr>
      <w:t>22</w:t>
    </w:r>
    <w:r>
      <w:rPr>
        <w:noProof/>
      </w:rPr>
      <w:fldChar w:fldCharType="end"/>
    </w:r>
  </w:p>
  <w:p w:rsidR="00357837" w:rsidRDefault="003578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05" w:rsidRDefault="00CB7B05">
      <w:r>
        <w:separator/>
      </w:r>
    </w:p>
  </w:footnote>
  <w:footnote w:type="continuationSeparator" w:id="0">
    <w:p w:rsidR="00CB7B05" w:rsidRDefault="00CB7B05">
      <w:r>
        <w:continuationSeparator/>
      </w:r>
    </w:p>
  </w:footnote>
  <w:footnote w:type="continuationNotice" w:id="1">
    <w:p w:rsidR="00CB7B05" w:rsidRDefault="00CB7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40"/>
        <w:szCs w:val="40"/>
      </w:rPr>
    </w:lvl>
  </w:abstractNum>
  <w:abstractNum w:abstractNumId="1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23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29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566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286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006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726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446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166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886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60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40"/>
        <w:szCs w:val="40"/>
      </w:rPr>
    </w:lvl>
  </w:abstractNum>
  <w:abstractNum w:abstractNumId="58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i/>
        <w:iCs/>
        <w:color w:val="00000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7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b w:val="0"/>
        <w:bCs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6B6B2833"/>
    <w:multiLevelType w:val="hybridMultilevel"/>
    <w:tmpl w:val="9A2ABC3C"/>
    <w:lvl w:ilvl="0" w:tplc="040EC9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ascii="Times New Roman" w:hAnsi="Times New Roman" w:cs="Times New Roman" w:hint="default"/>
      </w:rPr>
    </w:lvl>
  </w:abstractNum>
  <w:abstractNum w:abstractNumId="91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/>
        <w:iCs/>
      </w:rPr>
    </w:lvl>
  </w:abstractNum>
  <w:abstractNum w:abstractNumId="93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9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ascii="Times New Roman" w:hAnsi="Times New Roman" w:cs="Times New Roman" w:hint="default"/>
      </w:rPr>
    </w:lvl>
  </w:abstractNum>
  <w:abstractNum w:abstractNumId="99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87"/>
  </w:num>
  <w:num w:numId="2">
    <w:abstractNumId w:val="0"/>
  </w:num>
  <w:num w:numId="3">
    <w:abstractNumId w:val="77"/>
  </w:num>
  <w:num w:numId="4">
    <w:abstractNumId w:val="15"/>
  </w:num>
  <w:num w:numId="5">
    <w:abstractNumId w:val="85"/>
  </w:num>
  <w:num w:numId="6">
    <w:abstractNumId w:val="6"/>
  </w:num>
  <w:num w:numId="7">
    <w:abstractNumId w:val="94"/>
  </w:num>
  <w:num w:numId="8">
    <w:abstractNumId w:val="72"/>
  </w:num>
  <w:num w:numId="9">
    <w:abstractNumId w:val="56"/>
  </w:num>
  <w:num w:numId="10">
    <w:abstractNumId w:val="89"/>
  </w:num>
  <w:num w:numId="11">
    <w:abstractNumId w:val="76"/>
  </w:num>
  <w:num w:numId="12">
    <w:abstractNumId w:val="99"/>
  </w:num>
  <w:num w:numId="13">
    <w:abstractNumId w:val="41"/>
  </w:num>
  <w:num w:numId="14">
    <w:abstractNumId w:val="8"/>
  </w:num>
  <w:num w:numId="15">
    <w:abstractNumId w:val="53"/>
  </w:num>
  <w:num w:numId="16">
    <w:abstractNumId w:val="75"/>
  </w:num>
  <w:num w:numId="17">
    <w:abstractNumId w:val="83"/>
  </w:num>
  <w:num w:numId="18">
    <w:abstractNumId w:val="88"/>
  </w:num>
  <w:num w:numId="19">
    <w:abstractNumId w:val="1"/>
  </w:num>
  <w:num w:numId="20">
    <w:abstractNumId w:val="60"/>
  </w:num>
  <w:num w:numId="21">
    <w:abstractNumId w:val="24"/>
  </w:num>
  <w:num w:numId="22">
    <w:abstractNumId w:val="39"/>
  </w:num>
  <w:num w:numId="23">
    <w:abstractNumId w:val="21"/>
  </w:num>
  <w:num w:numId="24">
    <w:abstractNumId w:val="29"/>
  </w:num>
  <w:num w:numId="25">
    <w:abstractNumId w:val="90"/>
  </w:num>
  <w:num w:numId="26">
    <w:abstractNumId w:val="46"/>
  </w:num>
  <w:num w:numId="27">
    <w:abstractNumId w:val="40"/>
  </w:num>
  <w:num w:numId="28">
    <w:abstractNumId w:val="14"/>
  </w:num>
  <w:num w:numId="29">
    <w:abstractNumId w:val="35"/>
  </w:num>
  <w:num w:numId="30">
    <w:abstractNumId w:val="48"/>
  </w:num>
  <w:num w:numId="31">
    <w:abstractNumId w:val="19"/>
  </w:num>
  <w:num w:numId="32">
    <w:abstractNumId w:val="18"/>
  </w:num>
  <w:num w:numId="33">
    <w:abstractNumId w:val="55"/>
  </w:num>
  <w:num w:numId="34">
    <w:abstractNumId w:val="27"/>
  </w:num>
  <w:num w:numId="35">
    <w:abstractNumId w:val="20"/>
  </w:num>
  <w:num w:numId="36">
    <w:abstractNumId w:val="84"/>
  </w:num>
  <w:num w:numId="37">
    <w:abstractNumId w:val="92"/>
  </w:num>
  <w:num w:numId="38">
    <w:abstractNumId w:val="96"/>
  </w:num>
  <w:num w:numId="39">
    <w:abstractNumId w:val="97"/>
  </w:num>
  <w:num w:numId="40">
    <w:abstractNumId w:val="59"/>
  </w:num>
  <w:num w:numId="41">
    <w:abstractNumId w:val="44"/>
  </w:num>
  <w:num w:numId="42">
    <w:abstractNumId w:val="98"/>
  </w:num>
  <w:num w:numId="43">
    <w:abstractNumId w:val="68"/>
  </w:num>
  <w:num w:numId="44">
    <w:abstractNumId w:val="37"/>
  </w:num>
  <w:num w:numId="45">
    <w:abstractNumId w:val="16"/>
  </w:num>
  <w:num w:numId="46">
    <w:abstractNumId w:val="91"/>
  </w:num>
  <w:num w:numId="47">
    <w:abstractNumId w:val="65"/>
  </w:num>
  <w:num w:numId="48">
    <w:abstractNumId w:val="34"/>
  </w:num>
  <w:num w:numId="49">
    <w:abstractNumId w:val="62"/>
  </w:num>
  <w:num w:numId="50">
    <w:abstractNumId w:val="17"/>
  </w:num>
  <w:num w:numId="51">
    <w:abstractNumId w:val="80"/>
  </w:num>
  <w:num w:numId="52">
    <w:abstractNumId w:val="10"/>
  </w:num>
  <w:num w:numId="53">
    <w:abstractNumId w:val="58"/>
  </w:num>
  <w:num w:numId="54">
    <w:abstractNumId w:val="100"/>
  </w:num>
  <w:num w:numId="55">
    <w:abstractNumId w:val="70"/>
  </w:num>
  <w:num w:numId="56">
    <w:abstractNumId w:val="32"/>
  </w:num>
  <w:num w:numId="57">
    <w:abstractNumId w:val="61"/>
  </w:num>
  <w:num w:numId="58">
    <w:abstractNumId w:val="4"/>
  </w:num>
  <w:num w:numId="59">
    <w:abstractNumId w:val="9"/>
  </w:num>
  <w:num w:numId="60">
    <w:abstractNumId w:val="13"/>
  </w:num>
  <w:num w:numId="61">
    <w:abstractNumId w:val="64"/>
  </w:num>
  <w:num w:numId="62">
    <w:abstractNumId w:val="42"/>
  </w:num>
  <w:num w:numId="63">
    <w:abstractNumId w:val="30"/>
  </w:num>
  <w:num w:numId="64">
    <w:abstractNumId w:val="22"/>
  </w:num>
  <w:num w:numId="65">
    <w:abstractNumId w:val="45"/>
  </w:num>
  <w:num w:numId="66">
    <w:abstractNumId w:val="49"/>
  </w:num>
  <w:num w:numId="67">
    <w:abstractNumId w:val="95"/>
  </w:num>
  <w:num w:numId="68">
    <w:abstractNumId w:val="7"/>
  </w:num>
  <w:num w:numId="69">
    <w:abstractNumId w:val="81"/>
  </w:num>
  <w:num w:numId="70">
    <w:abstractNumId w:val="66"/>
  </w:num>
  <w:num w:numId="71">
    <w:abstractNumId w:val="11"/>
  </w:num>
  <w:num w:numId="72">
    <w:abstractNumId w:val="12"/>
  </w:num>
  <w:num w:numId="73">
    <w:abstractNumId w:val="51"/>
  </w:num>
  <w:num w:numId="74">
    <w:abstractNumId w:val="47"/>
  </w:num>
  <w:num w:numId="75">
    <w:abstractNumId w:val="50"/>
  </w:num>
  <w:num w:numId="76">
    <w:abstractNumId w:val="54"/>
  </w:num>
  <w:num w:numId="77">
    <w:abstractNumId w:val="28"/>
  </w:num>
  <w:num w:numId="78">
    <w:abstractNumId w:val="36"/>
  </w:num>
  <w:num w:numId="79">
    <w:abstractNumId w:val="67"/>
  </w:num>
  <w:num w:numId="80">
    <w:abstractNumId w:val="79"/>
  </w:num>
  <w:num w:numId="81">
    <w:abstractNumId w:val="101"/>
  </w:num>
  <w:num w:numId="82">
    <w:abstractNumId w:val="57"/>
  </w:num>
  <w:num w:numId="83">
    <w:abstractNumId w:val="5"/>
  </w:num>
  <w:num w:numId="84">
    <w:abstractNumId w:val="23"/>
  </w:num>
  <w:num w:numId="85">
    <w:abstractNumId w:val="73"/>
  </w:num>
  <w:num w:numId="86">
    <w:abstractNumId w:val="33"/>
  </w:num>
  <w:num w:numId="87">
    <w:abstractNumId w:val="69"/>
  </w:num>
  <w:num w:numId="88">
    <w:abstractNumId w:val="3"/>
  </w:num>
  <w:num w:numId="89">
    <w:abstractNumId w:val="93"/>
  </w:num>
  <w:num w:numId="90">
    <w:abstractNumId w:val="43"/>
  </w:num>
  <w:num w:numId="91">
    <w:abstractNumId w:val="31"/>
  </w:num>
  <w:num w:numId="92">
    <w:abstractNumId w:val="74"/>
  </w:num>
  <w:num w:numId="93">
    <w:abstractNumId w:val="86"/>
  </w:num>
  <w:num w:numId="94">
    <w:abstractNumId w:val="38"/>
  </w:num>
  <w:num w:numId="95">
    <w:abstractNumId w:val="25"/>
  </w:num>
  <w:num w:numId="96">
    <w:abstractNumId w:val="78"/>
  </w:num>
  <w:num w:numId="97">
    <w:abstractNumId w:val="26"/>
  </w:num>
  <w:num w:numId="98">
    <w:abstractNumId w:val="63"/>
  </w:num>
  <w:num w:numId="99">
    <w:abstractNumId w:val="2"/>
  </w:num>
  <w:num w:numId="100">
    <w:abstractNumId w:val="71"/>
  </w:num>
  <w:num w:numId="101">
    <w:abstractNumId w:val="52"/>
  </w:num>
  <w:num w:numId="102">
    <w:abstractNumId w:val="8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AE"/>
    <w:rsid w:val="0004138B"/>
    <w:rsid w:val="000E5096"/>
    <w:rsid w:val="001625E0"/>
    <w:rsid w:val="001B3E30"/>
    <w:rsid w:val="001F5F00"/>
    <w:rsid w:val="002B420E"/>
    <w:rsid w:val="002D246F"/>
    <w:rsid w:val="002D3507"/>
    <w:rsid w:val="00336F7E"/>
    <w:rsid w:val="00346786"/>
    <w:rsid w:val="00357837"/>
    <w:rsid w:val="003C2E2E"/>
    <w:rsid w:val="00440D85"/>
    <w:rsid w:val="0049292F"/>
    <w:rsid w:val="00495B89"/>
    <w:rsid w:val="00504785"/>
    <w:rsid w:val="00541062"/>
    <w:rsid w:val="0055756E"/>
    <w:rsid w:val="0065152E"/>
    <w:rsid w:val="007226F7"/>
    <w:rsid w:val="00866F25"/>
    <w:rsid w:val="008748E5"/>
    <w:rsid w:val="009373DA"/>
    <w:rsid w:val="00AE3DD1"/>
    <w:rsid w:val="00B02EA6"/>
    <w:rsid w:val="00CA2D15"/>
    <w:rsid w:val="00CB7B05"/>
    <w:rsid w:val="00CC7D76"/>
    <w:rsid w:val="00E329A4"/>
    <w:rsid w:val="00E903AE"/>
    <w:rsid w:val="00EB0F06"/>
    <w:rsid w:val="00F93E7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75FA67-D95F-4B5A-9439-DBFECBB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noProof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pPr>
      <w:spacing w:before="200" w:line="271" w:lineRule="auto"/>
      <w:outlineLvl w:val="2"/>
    </w:pPr>
    <w:rPr>
      <w:rFonts w:ascii="Cambria" w:hAnsi="Cambria" w:cs="Cambri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00"/>
      <w:outlineLvl w:val="4"/>
    </w:pPr>
    <w:rPr>
      <w:rFonts w:ascii="Cambria" w:hAnsi="Cambria" w:cs="Cambria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outlineLvl w:val="6"/>
    </w:pPr>
    <w:rPr>
      <w:rFonts w:ascii="Cambria" w:hAnsi="Cambria" w:cs="Cambria"/>
      <w:i/>
      <w:iCs/>
    </w:rPr>
  </w:style>
  <w:style w:type="paragraph" w:styleId="Cmsor8">
    <w:name w:val="heading 8"/>
    <w:basedOn w:val="Norml"/>
    <w:next w:val="Norml"/>
    <w:link w:val="Cmsor8Char"/>
    <w:uiPriority w:val="99"/>
    <w:qFormat/>
    <w:pPr>
      <w:outlineLvl w:val="7"/>
    </w:pPr>
    <w:rPr>
      <w:rFonts w:ascii="Cambria" w:hAnsi="Cambria" w:cs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Cambria"/>
      <w:b/>
      <w:bCs/>
      <w:noProof/>
      <w:color w:val="auto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Cambria" w:hAnsi="Cambria" w:cs="Cambria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rPr>
      <w:rFonts w:ascii="Cambria" w:hAnsi="Cambria" w:cs="Cambria"/>
      <w:b/>
      <w:bCs/>
      <w:color w:val="auto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Pr>
      <w:rFonts w:ascii="Cambria" w:hAnsi="Cambria" w:cs="Cambria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Pr>
      <w:rFonts w:ascii="Cambria" w:hAnsi="Cambria" w:cs="Cambria"/>
    </w:rPr>
  </w:style>
  <w:style w:type="character" w:customStyle="1" w:styleId="Cmsor9Char">
    <w:name w:val="Címsor 9 Char"/>
    <w:basedOn w:val="Bekezdsalapbettpusa"/>
    <w:link w:val="Cmsor9"/>
    <w:uiPriority w:val="99"/>
    <w:rPr>
      <w:rFonts w:ascii="Cambria" w:hAnsi="Cambria" w:cs="Cambria"/>
      <w:i/>
      <w:iCs/>
      <w:spacing w:val="5"/>
    </w:rPr>
  </w:style>
  <w:style w:type="paragraph" w:customStyle="1" w:styleId="Szakasz">
    <w:name w:val="Szakasz"/>
    <w:basedOn w:val="Norml"/>
    <w:next w:val="Norml"/>
    <w:uiPriority w:val="9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8"/>
    </w:rPr>
  </w:style>
  <w:style w:type="paragraph" w:customStyle="1" w:styleId="Alcmkodif">
    <w:name w:val="Alcímkodif"/>
    <w:basedOn w:val="Szakasz"/>
    <w:uiPriority w:val="99"/>
    <w:pPr>
      <w:spacing w:before="480" w:after="480"/>
      <w:outlineLvl w:val="9"/>
    </w:pPr>
    <w:rPr>
      <w:b w:val="0"/>
      <w:bCs w:val="0"/>
      <w:i/>
      <w:iCs/>
    </w:rPr>
  </w:style>
  <w:style w:type="paragraph" w:styleId="Buborkszveg">
    <w:name w:val="Balloon Text"/>
    <w:basedOn w:val="Norml"/>
    <w:link w:val="BuborkszvegChar"/>
    <w:uiPriority w:val="99"/>
    <w:rPr>
      <w:sz w:val="2"/>
      <w:szCs w:val="2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sz w:val="2"/>
      <w:szCs w:val="2"/>
    </w:rPr>
  </w:style>
  <w:style w:type="paragraph" w:styleId="Szvegtrzs3">
    <w:name w:val="Body Text 3"/>
    <w:basedOn w:val="Norml"/>
    <w:link w:val="Szvegtrzs3Char"/>
    <w:uiPriority w:val="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Pr>
      <w:sz w:val="16"/>
      <w:szCs w:val="16"/>
    </w:rPr>
  </w:style>
  <w:style w:type="paragraph" w:customStyle="1" w:styleId="Fszveg">
    <w:name w:val="Főszöveg"/>
    <w:basedOn w:val="Szvegtrzs3"/>
    <w:uiPriority w:val="99"/>
    <w:pPr>
      <w:autoSpaceDE w:val="0"/>
      <w:autoSpaceDN w:val="0"/>
      <w:spacing w:after="0" w:line="360" w:lineRule="auto"/>
      <w:jc w:val="both"/>
    </w:pPr>
    <w:rPr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sz w:val="24"/>
      <w:szCs w:val="24"/>
    </w:rPr>
  </w:style>
  <w:style w:type="paragraph" w:customStyle="1" w:styleId="Iktatszm">
    <w:name w:val="Iktatószám"/>
    <w:basedOn w:val="Norml"/>
    <w:uiPriority w:val="99"/>
    <w:pPr>
      <w:jc w:val="center"/>
    </w:pPr>
    <w:rPr>
      <w:b/>
      <w:bCs/>
      <w:caps/>
    </w:rPr>
  </w:style>
  <w:style w:type="paragraph" w:styleId="Cm">
    <w:name w:val="Title"/>
    <w:basedOn w:val="Norml"/>
    <w:link w:val="Cm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styleId="Oldalszm">
    <w:name w:val="page number"/>
    <w:basedOn w:val="Bekezdsalapbettpusa"/>
    <w:uiPriority w:val="99"/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uiPriority w:val="99"/>
    <w:qFormat/>
    <w:pPr>
      <w:ind w:left="720"/>
    </w:pPr>
  </w:style>
  <w:style w:type="paragraph" w:styleId="Szvegtrzs">
    <w:name w:val="Body Text"/>
    <w:aliases w:val="normabeh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Pr>
      <w:sz w:val="24"/>
      <w:szCs w:val="24"/>
    </w:rPr>
  </w:style>
  <w:style w:type="paragraph" w:customStyle="1" w:styleId="Szvegtrzs31">
    <w:name w:val="Szövegtörzs 31"/>
    <w:basedOn w:val="Norml"/>
    <w:uiPriority w:val="99"/>
    <w:pPr>
      <w:jc w:val="both"/>
    </w:pPr>
  </w:style>
  <w:style w:type="paragraph" w:customStyle="1" w:styleId="BodyText31">
    <w:name w:val="Body Text 31"/>
    <w:basedOn w:val="Norml"/>
    <w:uiPriority w:val="99"/>
    <w:pPr>
      <w:jc w:val="both"/>
    </w:pPr>
  </w:style>
  <w:style w:type="paragraph" w:customStyle="1" w:styleId="TvszvegCharCharChar">
    <w:name w:val="Tvszöveg§ Char Char Char"/>
    <w:basedOn w:val="lfej"/>
    <w:uiPriority w:val="9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sz w:val="20"/>
      <w:szCs w:val="20"/>
    </w:rPr>
  </w:style>
  <w:style w:type="character" w:customStyle="1" w:styleId="TvszvegCharCharCharChar">
    <w:name w:val="Tvszöveg§ Char Char Char Char"/>
    <w:uiPriority w:val="99"/>
    <w:rPr>
      <w:sz w:val="20"/>
      <w:szCs w:val="20"/>
    </w:rPr>
  </w:style>
  <w:style w:type="paragraph" w:customStyle="1" w:styleId="szvegtrzs310">
    <w:name w:val="szvegtrzs31"/>
    <w:basedOn w:val="Norml"/>
    <w:uiPriority w:val="99"/>
    <w:pPr>
      <w:jc w:val="both"/>
    </w:p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hAnsi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Pr>
      <w:rFonts w:ascii="Times New Roman" w:hAnsi="Times New Roman" w:cs="Times New Roman"/>
      <w:b/>
      <w:bCs/>
    </w:rPr>
  </w:style>
  <w:style w:type="paragraph" w:customStyle="1" w:styleId="TvszvegCharCharCharCharCharChar">
    <w:name w:val="Tvszöveg§ Char Char Char Char Char Char"/>
    <w:basedOn w:val="lfej"/>
    <w:uiPriority w:val="9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</w:style>
  <w:style w:type="character" w:customStyle="1" w:styleId="TvszvegCharCharCharCharCharCharChar">
    <w:name w:val="Tvszöveg§ Char Char Char Char Char Char Char"/>
    <w:uiPriority w:val="99"/>
    <w:rPr>
      <w:sz w:val="24"/>
      <w:szCs w:val="24"/>
    </w:rPr>
  </w:style>
  <w:style w:type="paragraph" w:styleId="Vltozat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pPr>
      <w:spacing w:after="20"/>
      <w:ind w:firstLine="180"/>
      <w:jc w:val="both"/>
    </w:pPr>
  </w:style>
  <w:style w:type="paragraph" w:customStyle="1" w:styleId="np">
    <w:name w:val="np"/>
    <w:basedOn w:val="Norml"/>
    <w:uiPriority w:val="99"/>
    <w:pPr>
      <w:spacing w:after="20"/>
      <w:ind w:firstLine="180"/>
      <w:jc w:val="both"/>
    </w:pPr>
  </w:style>
  <w:style w:type="character" w:customStyle="1" w:styleId="tvcimchar1">
    <w:name w:val="tvcim__char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aliases w:val="List Paragraph à moi Char,lista_2 Char,Számozott lista 1 Char,Eszeri felsorolás Char,Welt L Char Char,Welt L Char1,Bullet List Char,FooterText Char,numbered Char,Paragraphe de liste1 Char,Bulletr List Paragraph Char,列出段落 Char"/>
    <w:uiPriority w:val="99"/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  <w:style w:type="character" w:customStyle="1" w:styleId="st1">
    <w:name w:val="st1"/>
    <w:uiPriority w:val="99"/>
  </w:style>
  <w:style w:type="paragraph" w:styleId="Alcm">
    <w:name w:val="Subtitle"/>
    <w:basedOn w:val="Norml"/>
    <w:next w:val="Norml"/>
    <w:link w:val="AlcmChar"/>
    <w:uiPriority w:val="99"/>
    <w:qFormat/>
    <w:pPr>
      <w:spacing w:after="600"/>
    </w:pPr>
    <w:rPr>
      <w:rFonts w:ascii="Cambria" w:hAnsi="Cambria" w:cs="Cambria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Cambria"/>
      <w:i/>
      <w:iCs/>
      <w:spacing w:val="13"/>
      <w:sz w:val="24"/>
      <w:szCs w:val="24"/>
    </w:rPr>
  </w:style>
  <w:style w:type="character" w:styleId="Kiemels2">
    <w:name w:val="Strong"/>
    <w:basedOn w:val="Bekezdsalapbettpusa"/>
    <w:uiPriority w:val="99"/>
    <w:qFormat/>
    <w:rPr>
      <w:b/>
      <w:bCs/>
    </w:rPr>
  </w:style>
  <w:style w:type="character" w:styleId="Kiemels">
    <w:name w:val="Emphasis"/>
    <w:basedOn w:val="Bekezdsalapbettpusa"/>
    <w:uiPriority w:val="99"/>
    <w:qFormat/>
    <w:rPr>
      <w:b/>
      <w:bCs/>
      <w:i/>
      <w:iCs/>
      <w:spacing w:val="10"/>
      <w:shd w:val="clear" w:color="auto" w:fill="auto"/>
    </w:rPr>
  </w:style>
  <w:style w:type="paragraph" w:styleId="Nincstrkz">
    <w:name w:val="No Spacing"/>
    <w:basedOn w:val="Norml"/>
    <w:uiPriority w:val="99"/>
    <w:qFormat/>
  </w:style>
  <w:style w:type="character" w:customStyle="1" w:styleId="NoSpacingChar">
    <w:name w:val="No Spacing Char"/>
    <w:basedOn w:val="Bekezdsalapbettpusa"/>
    <w:uiPriority w:val="99"/>
    <w:rPr>
      <w:rFonts w:ascii="Times New Roman" w:hAnsi="Times New Roman" w:cs="Times New Roman"/>
      <w:sz w:val="24"/>
      <w:szCs w:val="24"/>
    </w:rPr>
  </w:style>
  <w:style w:type="paragraph" w:styleId="Idzet">
    <w:name w:val="Quote"/>
    <w:basedOn w:val="Norml"/>
    <w:next w:val="Norml"/>
    <w:link w:val="IdzetChar"/>
    <w:uiPriority w:val="99"/>
    <w:qFormat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Finomkiemels">
    <w:name w:val="Subtle Emphasis"/>
    <w:basedOn w:val="Bekezdsalapbettpusa"/>
    <w:uiPriority w:val="99"/>
    <w:qFormat/>
    <w:rPr>
      <w:i/>
      <w:iCs/>
    </w:rPr>
  </w:style>
  <w:style w:type="character" w:styleId="Erskiemels">
    <w:name w:val="Intense Emphasis"/>
    <w:basedOn w:val="Bekezdsalapbettpusa"/>
    <w:uiPriority w:val="99"/>
    <w:qFormat/>
    <w:rPr>
      <w:b/>
      <w:bCs/>
    </w:rPr>
  </w:style>
  <w:style w:type="character" w:styleId="Finomhivatkozs">
    <w:name w:val="Subtle Reference"/>
    <w:basedOn w:val="Bekezdsalapbettpusa"/>
    <w:uiPriority w:val="99"/>
    <w:qFormat/>
    <w:rPr>
      <w:smallCaps/>
    </w:rPr>
  </w:style>
  <w:style w:type="character" w:styleId="Ershivatkozs">
    <w:name w:val="Intense Reference"/>
    <w:basedOn w:val="Bekezdsalapbettpusa"/>
    <w:uiPriority w:val="99"/>
    <w:qFormat/>
    <w:rPr>
      <w:smallCaps/>
      <w:spacing w:val="5"/>
      <w:u w:val="single"/>
    </w:rPr>
  </w:style>
  <w:style w:type="character" w:styleId="Knyvcme">
    <w:name w:val="Book Title"/>
    <w:basedOn w:val="Bekezdsalapbettpusa"/>
    <w:uiPriority w:val="99"/>
    <w:qFormat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pPr>
      <w:keepNext w:val="0"/>
      <w:spacing w:before="480"/>
      <w:outlineLvl w:val="9"/>
    </w:pPr>
    <w:rPr>
      <w:rFonts w:ascii="Cambria" w:hAnsi="Cambria" w:cs="Cambria"/>
      <w:sz w:val="28"/>
      <w:szCs w:val="28"/>
    </w:rPr>
  </w:style>
  <w:style w:type="character" w:customStyle="1" w:styleId="JegyzetszvegChar1">
    <w:name w:val="Jegyzetszöveg Char1"/>
    <w:basedOn w:val="Bekezdsalapbettpusa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3C49-C0E1-4556-85B7-F324160E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4954</Words>
  <Characters>34189</Characters>
  <Application>Microsoft Office Word</Application>
  <DocSecurity>0</DocSecurity>
  <Lines>284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subject/>
  <dc:creator>Zsuzsi, Peti</dc:creator>
  <cp:keywords/>
  <dc:description/>
  <cp:lastModifiedBy>Ebes Polgármesteri Hivatal</cp:lastModifiedBy>
  <cp:revision>3</cp:revision>
  <cp:lastPrinted>2017-12-20T09:48:00Z</cp:lastPrinted>
  <dcterms:created xsi:type="dcterms:W3CDTF">2019-01-02T10:20:00Z</dcterms:created>
  <dcterms:modified xsi:type="dcterms:W3CDTF">2019-01-02T10:21:00Z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