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03AE">
        <w:trPr>
          <w:trHeight w:val="826"/>
        </w:trPr>
        <w:tc>
          <w:tcPr>
            <w:tcW w:w="9889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BEVALLÁS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a helyi iparűzési adóról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állandó jellegű iparűzési tevékenység esetén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FŐLAP</w:t>
            </w:r>
          </w:p>
          <w:p w:rsidR="00E903AE" w:rsidRDefault="0049292F" w:rsidP="002D350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t>2019</w:t>
            </w:r>
            <w:r w:rsidR="00E903AE">
              <w:t xml:space="preserve">. évben kezdődő adóévről </w:t>
            </w:r>
            <w:r w:rsidR="002D350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 folytatott tevékenység utáni adókötelezettségről</w:t>
            </w:r>
          </w:p>
        </w:tc>
      </w:tr>
      <w:tr w:rsidR="00E903AE">
        <w:tc>
          <w:tcPr>
            <w:tcW w:w="9889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27"/>
        </w:trPr>
        <w:tc>
          <w:tcPr>
            <w:tcW w:w="9889" w:type="dxa"/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Bevallás jellege</w:t>
            </w:r>
          </w:p>
        </w:tc>
      </w:tr>
      <w:tr w:rsidR="00E903AE">
        <w:trPr>
          <w:trHeight w:val="419"/>
        </w:trPr>
        <w:tc>
          <w:tcPr>
            <w:tcW w:w="9889" w:type="dxa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Éves bevallás</w:t>
            </w:r>
          </w:p>
        </w:tc>
      </w:tr>
      <w:tr w:rsidR="00E903AE">
        <w:trPr>
          <w:trHeight w:val="285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Záró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Előtársasági bevallás</w:t>
            </w:r>
          </w:p>
        </w:tc>
      </w:tr>
      <w:tr w:rsidR="00E903AE">
        <w:trPr>
          <w:trHeight w:val="329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bevallása</w:t>
            </w:r>
          </w:p>
        </w:tc>
      </w:tr>
      <w:tr w:rsidR="00E903AE">
        <w:trPr>
          <w:trHeight w:val="33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 közben kezdő adózó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áttérésének évéről készült évközi bevallása</w:t>
            </w:r>
          </w:p>
        </w:tc>
      </w:tr>
      <w:tr w:rsidR="00E903AE">
        <w:trPr>
          <w:trHeight w:val="801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személyi jövedelemadóról szóló törvény szerinti mezőgazdasági őstermelő bevallása</w:t>
            </w:r>
          </w:p>
        </w:tc>
      </w:tr>
      <w:tr w:rsidR="00E903AE">
        <w:trPr>
          <w:trHeight w:val="855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41. § (8) bekezdés alapján, közös őstermelői igazolványban adószámmal rendelkező őstermelő (adózó), családi gazdálkodó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37. § (2) bekezdés </w:t>
            </w:r>
            <w:r>
              <w:rPr>
                <w:i/>
                <w:iCs/>
              </w:rPr>
              <w:t>a)</w:t>
            </w:r>
            <w: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 tételes adójának alanyaként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39/E. §-a szerint mentes adóalany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39/F. §-a szerint mentes adóalany bevallása</w:t>
            </w:r>
          </w:p>
          <w:p w:rsidR="00E903AE" w:rsidRDefault="00E903AE">
            <w:pPr>
              <w:ind w:left="1418"/>
              <w:rPr>
                <w:sz w:val="48"/>
                <w:szCs w:val="48"/>
              </w:rPr>
            </w:pPr>
            <w:r>
              <w:rPr>
                <w:i/>
                <w:iCs/>
                <w:sz w:val="20"/>
                <w:szCs w:val="20"/>
              </w:rPr>
              <w:t xml:space="preserve">(Az adóelőny 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Önellenőrzés</w:t>
            </w:r>
          </w:p>
        </w:tc>
      </w:tr>
    </w:tbl>
    <w:p w:rsidR="00E903AE" w:rsidRDefault="00E903AE"/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056"/>
        <w:gridCol w:w="6829"/>
        <w:gridCol w:w="38"/>
      </w:tblGrid>
      <w:tr w:rsidR="00E903AE" w:rsidTr="002D246F">
        <w:trPr>
          <w:gridAfter w:val="1"/>
          <w:wAfter w:w="38" w:type="dxa"/>
          <w:trHeight w:val="227"/>
        </w:trPr>
        <w:tc>
          <w:tcPr>
            <w:tcW w:w="309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903AE" w:rsidRDefault="00E903AE"/>
          <w:p w:rsidR="00E903AE" w:rsidRDefault="00E903AE"/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naptól-</w:t>
            </w:r>
          </w:p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/>
            <w:tcBorders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napig.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Záró bevallás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75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Felszámolás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Végelszámolás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Kényszertörlés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Adószám törlése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Átalakulás, egyesülés, szétválás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tevékenység saját elhatározásból történő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Hatósági megszüntetés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Előtársaságként működő társaság cégbejegyzés iránti kérelemnek elutasítása vagy a kérelem bejegyzés előtti visszavonása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Székhely áthelyezése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Telephely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Egyszerűsített vállalkozói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Egyéni vállalkozói tevékenység szüneteltetése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63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vállalkozások tételes adójában az adóalanyiság év közben való keletkezése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24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adóban az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települési önkormányzat adórendeletének hatályon kívül 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Egyéb: ________________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E903AE" w:rsidTr="002D246F">
        <w:trPr>
          <w:trHeight w:val="1114"/>
        </w:trPr>
        <w:tc>
          <w:tcPr>
            <w:tcW w:w="9822" w:type="dxa"/>
            <w:tcBorders>
              <w:bottom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 bevallásban szereplő betétlapok</w:t>
            </w:r>
          </w:p>
          <w:p w:rsidR="00E903AE" w:rsidRDefault="00E903AE">
            <w:pPr>
              <w:ind w:left="1080"/>
              <w:jc w:val="center"/>
            </w:pPr>
            <w:r>
              <w:t xml:space="preserve">A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B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C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D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E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F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G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H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I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J </w:t>
            </w:r>
            <w:r>
              <w:rPr>
                <w:sz w:val="48"/>
                <w:szCs w:val="48"/>
              </w:rPr>
              <w:t>□</w:t>
            </w:r>
          </w:p>
        </w:tc>
      </w:tr>
    </w:tbl>
    <w:p w:rsidR="00E903AE" w:rsidRDefault="00E903AE"/>
    <w:p w:rsidR="00E903AE" w:rsidRDefault="00E903AE"/>
    <w:p w:rsidR="00E903AE" w:rsidRDefault="00E903AE"/>
    <w:p w:rsidR="002D246F" w:rsidRDefault="002D246F"/>
    <w:p w:rsidR="002D246F" w:rsidRDefault="002D246F"/>
    <w:p w:rsidR="002D246F" w:rsidRDefault="002D246F"/>
    <w:p w:rsidR="00E903AE" w:rsidRDefault="00E903AE"/>
    <w:p w:rsidR="00E903AE" w:rsidRDefault="00E903AE"/>
    <w:p w:rsidR="00E903AE" w:rsidRDefault="00E903AE"/>
    <w:p w:rsidR="00E903AE" w:rsidRDefault="00E903AE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Adóalany</w:t>
            </w:r>
          </w:p>
        </w:tc>
      </w:tr>
      <w:tr w:rsidR="00E903AE">
        <w:trPr>
          <w:trHeight w:val="3798"/>
        </w:trPr>
        <w:tc>
          <w:tcPr>
            <w:tcW w:w="9923" w:type="dxa"/>
            <w:vAlign w:val="center"/>
          </w:tcPr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Adóalany neve (cégneve</w:t>
            </w:r>
            <w:proofErr w:type="gramStart"/>
            <w:r>
              <w:t>):  _</w:t>
            </w:r>
            <w:proofErr w:type="gramEnd"/>
            <w:r>
              <w:t>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helye: ___________________________________________________város/község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ideje: ________ év ____ hó ___</w:t>
            </w:r>
            <w:proofErr w:type="gramStart"/>
            <w:r>
              <w:t>_  nap</w:t>
            </w:r>
            <w:proofErr w:type="gramEnd"/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Anyja születési családi és utóneve: 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Adóazonosító jele: </w:t>
            </w:r>
            <w:r>
              <w:rPr>
                <w:sz w:val="52"/>
                <w:szCs w:val="52"/>
              </w:rPr>
              <w:t>□□□□□□□□□□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52"/>
                <w:szCs w:val="52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Székhelye, lakóhelye: ______________________________________________város/község</w:t>
            </w:r>
          </w:p>
          <w:p w:rsidR="00E903AE" w:rsidRDefault="00E903AE">
            <w:pPr>
              <w:spacing w:before="40" w:after="40"/>
              <w:ind w:left="743"/>
            </w:pPr>
            <w:r>
              <w:t xml:space="preserve">______________ </w:t>
            </w:r>
            <w:proofErr w:type="gramStart"/>
            <w:r>
              <w:t>közterület  _</w:t>
            </w:r>
            <w:proofErr w:type="gramEnd"/>
            <w:r>
              <w:t xml:space="preserve">___ </w:t>
            </w:r>
            <w:proofErr w:type="spellStart"/>
            <w:r>
              <w:t>közterület</w:t>
            </w:r>
            <w:proofErr w:type="spellEnd"/>
            <w:r>
              <w:t xml:space="preserve"> jelleg ___ </w:t>
            </w:r>
            <w:proofErr w:type="spellStart"/>
            <w:r>
              <w:t>hsz</w:t>
            </w:r>
            <w:proofErr w:type="spellEnd"/>
            <w:r>
              <w:t xml:space="preserve">. ___ ép. ___ </w:t>
            </w:r>
            <w:proofErr w:type="spellStart"/>
            <w:r>
              <w:t>lh</w:t>
            </w:r>
            <w:proofErr w:type="spellEnd"/>
            <w:r>
              <w:t>. ___em. ___ajtó.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Az adóbevallást kitöltő neve </w:t>
            </w:r>
            <w:proofErr w:type="gramStart"/>
            <w:r>
              <w:t>(,ha</w:t>
            </w:r>
            <w:proofErr w:type="gramEnd"/>
            <w:r>
              <w:t xml:space="preserve"> az nem azonos az adóalannyal): __________________________________________________________________________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Telefonszáma: 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 xml:space="preserve">E-mail </w:t>
            </w:r>
            <w:proofErr w:type="gramStart"/>
            <w:r>
              <w:t xml:space="preserve">címe:   </w:t>
            </w:r>
            <w:proofErr w:type="gramEnd"/>
            <w:r>
              <w:t xml:space="preserve"> ______________________________________________________________</w:t>
            </w:r>
          </w:p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Az adó alapjának egyszerűsített meghatározási módját választók nyilatkozata </w:t>
            </w:r>
          </w:p>
        </w:tc>
      </w:tr>
      <w:tr w:rsidR="00E903AE">
        <w:trPr>
          <w:trHeight w:val="1975"/>
        </w:trPr>
        <w:tc>
          <w:tcPr>
            <w:tcW w:w="9923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ind w:left="176" w:right="-425"/>
            </w:pPr>
            <w:r>
              <w:t>Az adóévre az adóalap egyszerűsített megállapítási módját választom: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személy jövedelemadóról szóló törvény szerinti átalányadózóként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az egyszerűsített vállalkozói adó alanyaként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8 millió forintot meg nem haladó nettó </w:t>
            </w:r>
            <w:proofErr w:type="spellStart"/>
            <w:r>
              <w:t>árbevételű</w:t>
            </w:r>
            <w:proofErr w:type="spellEnd"/>
            <w:r>
              <w:t xml:space="preserve"> adóalanyként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 hatálya alá tartozó adóalanyként</w:t>
            </w:r>
          </w:p>
          <w:p w:rsidR="00E903AE" w:rsidRDefault="00E903AE"/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5456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17"/>
        <w:gridCol w:w="4961"/>
      </w:tblGrid>
      <w:tr w:rsidR="00E903AE" w:rsidTr="00346786">
        <w:tc>
          <w:tcPr>
            <w:tcW w:w="2489" w:type="pc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Az adó</w:t>
            </w: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29. sor kivételével 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szerinti </w:t>
            </w:r>
            <w:r>
              <w:sym w:font="Symbol" w:char="F02D"/>
            </w:r>
            <w:r>
              <w:t xml:space="preserve"> vállalkozási szintű </w:t>
            </w:r>
            <w:r>
              <w:sym w:font="Symbol" w:char="F02D"/>
            </w:r>
            <w:r>
              <w:t xml:space="preserve"> éves nettó árbevétel (részletezése külön lapon található):</w:t>
            </w:r>
          </w:p>
        </w:tc>
        <w:tc>
          <w:tcPr>
            <w:tcW w:w="25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  <w:spacing w:before="120"/>
            </w:pPr>
            <w:r>
              <w:t xml:space="preserve">Eladott áruk beszerzési értékének, közvetített szolgáltatások értékének figyelembe vehető (a </w:t>
            </w:r>
            <w:proofErr w:type="spellStart"/>
            <w:r>
              <w:t>Htv</w:t>
            </w:r>
            <w:proofErr w:type="spellEnd"/>
            <w:r>
              <w:t>. 39. § (6) bekezdésének hatálya alá nem tartozó adóalany esetén: „E” lap II/7. sor) együttes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3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alvállalkozói teljesítések értéke: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Anyagköltség: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Alapkutatás, alkalmazott kutatás, kísérleti </w:t>
            </w:r>
            <w:r>
              <w:br/>
            </w:r>
            <w:r>
              <w:lastRenderedPageBreak/>
              <w:t>fejlesztés adóévben elszámolt közvetlen költsége: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346786">
        <w:trPr>
          <w:trHeight w:val="108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adóalap </w:t>
            </w:r>
            <w:r>
              <w:br/>
              <w:t xml:space="preserve">[(1-(2+3+4+5) vagy a </w:t>
            </w:r>
            <w:proofErr w:type="spellStart"/>
            <w:r>
              <w:t>Htv</w:t>
            </w:r>
            <w:proofErr w:type="spellEnd"/>
            <w:r>
              <w:t>. 39. § (6), (10) bekezdés alkalmazása esetén: „E” jelű lap III/11. sor]: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5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Szokásos piaci árra való kiegészítés miatti korrekció (</w:t>
            </w:r>
            <w:proofErr w:type="gramStart"/>
            <w:r>
              <w:t>+,-</w:t>
            </w:r>
            <w:proofErr w:type="gramEnd"/>
            <w:r>
              <w:t>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84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IFRS-t alkalmazó vállalkozóknál az I jelű betétlap VII. pontjának 1. pontja vagy VIII. pontjának 1. pontja szerinti áttérési különbözet összege (</w:t>
            </w:r>
            <w:proofErr w:type="gramStart"/>
            <w:r>
              <w:t>+,-</w:t>
            </w:r>
            <w:proofErr w:type="gramEnd"/>
            <w:r>
              <w:t>)*</w:t>
            </w:r>
          </w:p>
          <w:p w:rsidR="00E903AE" w:rsidRDefault="00E903AE">
            <w:pPr>
              <w:ind w:left="1080"/>
            </w:pPr>
            <w:r>
              <w:rPr>
                <w:i/>
                <w:iCs/>
              </w:rPr>
              <w:t>[részletezése az I jelű betétlapon található]: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47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IFRS-t alkalmazó vállalkozónál számviteli önellenőrzési különbözet  </w:t>
            </w:r>
            <w:proofErr w:type="gramStart"/>
            <w:r>
              <w:t xml:space="preserve">   (</w:t>
            </w:r>
            <w:proofErr w:type="gramEnd"/>
            <w:r>
              <w:t>+,-)*: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növeléséhez kapcsolódó </w:t>
            </w:r>
            <w:r>
              <w:br/>
              <w:t xml:space="preserve">adóalap-mentesség: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csökkentéséhez </w:t>
            </w:r>
            <w:r>
              <w:br/>
              <w:t>kapcsolódó adóalap-növekmény: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Korrigált </w:t>
            </w:r>
            <w:proofErr w:type="spellStart"/>
            <w:r>
              <w:t>Htv</w:t>
            </w:r>
            <w:proofErr w:type="spellEnd"/>
            <w:r>
              <w:t xml:space="preserve">. szerinti - vállalkozási szintű - adóalap </w:t>
            </w:r>
            <w:r>
              <w:rPr>
                <w:i/>
                <w:iCs/>
              </w:rPr>
              <w:t>[6+7+8+9-10+11]: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önkormányzat illetékességi területére </w:t>
            </w:r>
            <w:r>
              <w:br/>
              <w:t xml:space="preserve">jutó </w:t>
            </w:r>
            <w:r>
              <w:sym w:font="Symbol" w:char="F02D"/>
            </w:r>
            <w:r>
              <w:t xml:space="preserve"> a 12. sorban lévő adóalap megosztása szerinti </w:t>
            </w:r>
            <w:r>
              <w:sym w:font="Symbol" w:char="F02D"/>
            </w:r>
            <w:r>
              <w:t xml:space="preserve"> települési szintű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9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Pr="002D246F" w:rsidRDefault="00E903AE" w:rsidP="008748E5">
            <w:pPr>
              <w:numPr>
                <w:ilvl w:val="0"/>
                <w:numId w:val="41"/>
              </w:numPr>
              <w:rPr>
                <w:i/>
                <w:iCs/>
              </w:rPr>
            </w:pPr>
            <w:r>
              <w:t>Adómentes adóalap önkormányzati döntés alapján 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  <w:p w:rsidR="002D246F" w:rsidRDefault="002D246F" w:rsidP="002D246F">
            <w:pPr>
              <w:ind w:left="1080"/>
              <w:rPr>
                <w:i/>
                <w:iCs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04138B" w:rsidRDefault="0004138B" w:rsidP="0004138B">
            <w:pPr>
              <w:ind w:left="360"/>
              <w:jc w:val="center"/>
              <w:rPr>
                <w:b/>
                <w:bCs/>
                <w:sz w:val="48"/>
                <w:szCs w:val="48"/>
              </w:rPr>
            </w:pPr>
            <w:r w:rsidRPr="0004138B">
              <w:rPr>
                <w:b/>
                <w:bCs/>
                <w:sz w:val="48"/>
                <w:szCs w:val="48"/>
              </w:rPr>
              <w:t>--- --- --- --- --- ---</w:t>
            </w:r>
            <w:r>
              <w:rPr>
                <w:b/>
                <w:bCs/>
                <w:sz w:val="48"/>
                <w:szCs w:val="48"/>
              </w:rPr>
              <w:t xml:space="preserve"> ---</w:t>
            </w:r>
          </w:p>
        </w:tc>
      </w:tr>
      <w:tr w:rsidR="00E903AE" w:rsidTr="00346786">
        <w:trPr>
          <w:trHeight w:val="525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6F" w:rsidRPr="002D246F" w:rsidRDefault="00E903AE" w:rsidP="002D246F">
            <w:pPr>
              <w:pStyle w:val="Cmsor8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Adómentes adóalap önkormányzati </w:t>
            </w:r>
            <w:r w:rsidR="002D246F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3AE" w:rsidRPr="002D246F" w:rsidRDefault="00E903AE" w:rsidP="002D246F">
            <w:pPr>
              <w:pStyle w:val="Cmsor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döntés alapján [</w:t>
            </w:r>
            <w:proofErr w:type="spellStart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. 39/C. § (4) bekezdése szerint]:</w:t>
            </w:r>
            <w:r w:rsidR="0004138B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(500.000 Ft-ig mentes)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rendelet szerinti adóköteles adóalap (13-14-15):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Adóalapra jutó iparűzési adó összege </w:t>
            </w:r>
            <w:r>
              <w:br/>
              <w:t xml:space="preserve">(16. sor x </w:t>
            </w:r>
            <w:r w:rsidR="00CC7D76" w:rsidRPr="00B02EA6">
              <w:rPr>
                <w:b/>
                <w:u w:val="single"/>
              </w:rPr>
              <w:t>1,8</w:t>
            </w:r>
            <w:r w:rsidRPr="00B02EA6">
              <w:rPr>
                <w:b/>
                <w:u w:val="single"/>
              </w:rPr>
              <w:t xml:space="preserve"> %</w:t>
            </w:r>
            <w:r>
              <w:t>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Önkormányzati döntés szerinti adókedvezmény 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 § (4)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91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lastRenderedPageBreak/>
              <w:t>Az ideiglenes jellegű iparűzési tevékenység után az adóévben megfizetett és az önkormányzatnál levonható adóátalány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a)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belföldi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</w:t>
            </w:r>
          </w:p>
          <w:p w:rsidR="00E903AE" w:rsidRDefault="00E903AE">
            <w:pPr>
              <w:ind w:left="1080"/>
            </w:pPr>
            <w:r>
              <w:t>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külföldi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úthasználati 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 xml:space="preserve">b) </w:t>
            </w:r>
            <w:r>
              <w:t>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1373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döntés szerint</w:t>
            </w:r>
            <w:r>
              <w:br/>
              <w:t>a vállalkozó az adóévben elszámolt</w:t>
            </w:r>
            <w:r>
              <w:br/>
              <w:t>alapkutatás, alkalmazott kutatás vagy kísérleti fejlesztés közvetlen költsége 10%-</w:t>
            </w:r>
            <w:proofErr w:type="spellStart"/>
            <w:r>
              <w:t>ának</w:t>
            </w:r>
            <w:proofErr w:type="spellEnd"/>
            <w:r>
              <w:t xml:space="preserve"> településre jutó hányada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40/A. § (3) bekezdése]: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68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iparűzési adófizetési kötelezettség</w:t>
            </w:r>
          </w:p>
          <w:p w:rsidR="00E903AE" w:rsidRDefault="00E903AE">
            <w:pPr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[17-(18+19+20+21+22+23+24)]: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önkormányzatra jutó adóátalány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Külföldön létesített telephelyre jutó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43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adóévben megfizetett útdíj 7,5%-a: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foglalkoztatás növeléséhez kapcsolódó létszámnövekmény (</w:t>
            </w:r>
            <w:proofErr w:type="spellStart"/>
            <w:r>
              <w:t>főben</w:t>
            </w:r>
            <w:proofErr w:type="spellEnd"/>
            <w:r>
              <w:t xml:space="preserve"> kifejezett adat):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</w:tbl>
    <w:p w:rsidR="00E903AE" w:rsidRDefault="00E903AE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5412"/>
      </w:tblGrid>
      <w:tr w:rsidR="00E903AE" w:rsidTr="00346786">
        <w:trPr>
          <w:trHeight w:val="379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Adóelőlegek bevallása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Előlegfizetési időszak:</w:t>
            </w:r>
          </w:p>
        </w:tc>
        <w:tc>
          <w:tcPr>
            <w:tcW w:w="54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903AE" w:rsidRDefault="00E903AE"/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49292F">
            <w:pPr>
              <w:jc w:val="center"/>
            </w:pPr>
            <w:r>
              <w:rPr>
                <w:b/>
                <w:sz w:val="36"/>
                <w:szCs w:val="36"/>
              </w:rPr>
              <w:t>2020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naptól-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3C2E2E" w:rsidP="003C2E2E">
            <w:r>
              <w:rPr>
                <w:b/>
                <w:sz w:val="36"/>
                <w:szCs w:val="36"/>
              </w:rPr>
              <w:t xml:space="preserve">           </w:t>
            </w:r>
            <w:bookmarkStart w:id="0" w:name="_GoBack"/>
            <w:r w:rsidR="0049292F">
              <w:rPr>
                <w:b/>
                <w:sz w:val="36"/>
                <w:szCs w:val="36"/>
              </w:rPr>
              <w:t>2021</w:t>
            </w:r>
            <w:bookmarkEnd w:id="0"/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06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3</w:t>
            </w:r>
            <w:r w:rsidR="002D3507" w:rsidRPr="00B02EA6">
              <w:rPr>
                <w:b/>
                <w:sz w:val="36"/>
                <w:szCs w:val="48"/>
              </w:rPr>
              <w:t>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napig.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Első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B02EA6" w:rsidP="00B02EA6">
            <w:pPr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49292F">
              <w:rPr>
                <w:b/>
                <w:sz w:val="36"/>
                <w:szCs w:val="36"/>
              </w:rPr>
              <w:t>2020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rPr>
          <w:trHeight w:val="435"/>
        </w:trPr>
        <w:tc>
          <w:tcPr>
            <w:tcW w:w="435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  <w:jc w:val="center"/>
            </w:pPr>
            <w:r>
              <w:t>Második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49292F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2021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03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8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808"/>
        <w:gridCol w:w="1376"/>
        <w:gridCol w:w="813"/>
        <w:gridCol w:w="856"/>
        <w:gridCol w:w="3998"/>
      </w:tblGrid>
      <w:tr w:rsidR="00E903AE" w:rsidTr="00346786">
        <w:trPr>
          <w:trHeight w:val="720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Felelősségem tudatában kijelentem, hogy a bevallásban szereplő adatok a valóságnak megfelelnek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rPr>
          <w:trHeight w:val="555"/>
        </w:trPr>
        <w:tc>
          <w:tcPr>
            <w:tcW w:w="9851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346786">
        <w:trPr>
          <w:trHeight w:val="585"/>
        </w:trPr>
        <w:tc>
          <w:tcPr>
            <w:tcW w:w="2808" w:type="dxa"/>
            <w:tcBorders>
              <w:top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  <w:tr w:rsidR="00E903AE" w:rsidTr="00346786">
        <w:trPr>
          <w:trHeight w:val="1305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903AE" w:rsidRDefault="00E903AE" w:rsidP="00346786">
            <w:pPr>
              <w:ind w:left="737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Ha az adóbevallást az adózó helyett annak képviselője (meghatalmazottja) nyújtja be, jelölje X-szel*: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E903AE" w:rsidRDefault="00E903AE">
            <w:pPr>
              <w:rPr>
                <w:color w:val="00000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*A NAV útján benyújtott bevallás esetén nem kell jelölni.</w:t>
            </w:r>
          </w:p>
        </w:tc>
      </w:tr>
      <w:tr w:rsidR="00E903AE" w:rsidTr="00346786">
        <w:trPr>
          <w:trHeight w:val="33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Adótanácsadó, adószakértő neve: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Adóazonosító száma: _____________________________________________________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Bizonyítvány, igazolvány száma: ____________________________________________</w:t>
            </w:r>
          </w:p>
        </w:tc>
      </w:tr>
    </w:tbl>
    <w:p w:rsidR="00E903AE" w:rsidRDefault="00E903AE">
      <w:pPr>
        <w:jc w:val="right"/>
      </w:pPr>
    </w:p>
    <w:p w:rsidR="00E903AE" w:rsidRDefault="00E903AE" w:rsidP="000E5096">
      <w:r>
        <w:br w:type="page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376"/>
        <w:gridCol w:w="813"/>
        <w:gridCol w:w="318"/>
        <w:gridCol w:w="541"/>
        <w:gridCol w:w="3995"/>
      </w:tblGrid>
      <w:tr w:rsidR="00E903A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„A” jelű betétlap</w:t>
            </w:r>
          </w:p>
          <w:p w:rsidR="00E903AE" w:rsidRDefault="00E903AE">
            <w:pPr>
              <w:jc w:val="center"/>
            </w:pPr>
          </w:p>
          <w:p w:rsidR="00E903AE" w:rsidRDefault="0049292F">
            <w:pPr>
              <w:jc w:val="center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spacing w:before="120"/>
            </w:pPr>
            <w: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95"/>
        </w:trPr>
        <w:tc>
          <w:tcPr>
            <w:tcW w:w="5353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</w:trPr>
        <w:tc>
          <w:tcPr>
            <w:tcW w:w="5353" w:type="dxa"/>
            <w:gridSpan w:val="4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</w:trPr>
        <w:tc>
          <w:tcPr>
            <w:tcW w:w="5353" w:type="dxa"/>
            <w:gridSpan w:val="4"/>
            <w:tcBorders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60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*A </w:t>
            </w:r>
            <w:proofErr w:type="spellStart"/>
            <w:r>
              <w:rPr>
                <w:i/>
                <w:iCs/>
                <w:sz w:val="18"/>
                <w:szCs w:val="18"/>
              </w:rPr>
              <w:t>Htv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49292F">
              <w:rPr>
                <w:i/>
                <w:iCs/>
                <w:sz w:val="18"/>
                <w:szCs w:val="18"/>
              </w:rPr>
              <w:t>2019</w:t>
            </w:r>
            <w:r>
              <w:rPr>
                <w:i/>
                <w:iCs/>
                <w:sz w:val="18"/>
                <w:szCs w:val="18"/>
              </w:rPr>
              <w:t xml:space="preserve">. június 14-i </w:t>
            </w:r>
            <w:r w:rsidR="0049292F">
              <w:rPr>
                <w:i/>
                <w:iCs/>
                <w:sz w:val="18"/>
                <w:szCs w:val="18"/>
              </w:rPr>
              <w:t>2019</w:t>
            </w:r>
            <w:r>
              <w:rPr>
                <w:i/>
                <w:iCs/>
                <w:sz w:val="18"/>
                <w:szCs w:val="18"/>
              </w:rPr>
              <w:t xml:space="preserve">/1084/EU bizottsági rendelet (HL L 156., </w:t>
            </w:r>
            <w:r w:rsidR="0049292F">
              <w:rPr>
                <w:i/>
                <w:iCs/>
                <w:sz w:val="18"/>
                <w:szCs w:val="18"/>
              </w:rPr>
              <w:t>2019</w:t>
            </w:r>
            <w:r>
              <w:rPr>
                <w:i/>
                <w:iCs/>
                <w:sz w:val="18"/>
                <w:szCs w:val="18"/>
              </w:rPr>
              <w:t>.6.20., 1. o.) szerinti, sportlétesítményekre nyújtott működési támogatásnak minősül. A támogatás igénybevételéről e bevallásban nyilatkozni kell!</w:t>
            </w:r>
          </w:p>
        </w:tc>
      </w:tr>
      <w:tr w:rsidR="00E903AE">
        <w:trPr>
          <w:trHeight w:val="291"/>
        </w:trPr>
        <w:tc>
          <w:tcPr>
            <w:tcW w:w="9889" w:type="dxa"/>
            <w:gridSpan w:val="6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</w:p>
        </w:tc>
      </w:tr>
      <w:tr w:rsidR="00E903AE">
        <w:trPr>
          <w:trHeight w:val="366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rPr>
                <w:b/>
                <w:bCs/>
              </w:rPr>
            </w:pPr>
            <w:r>
              <w:rPr>
                <w:b/>
                <w:bCs/>
              </w:rPr>
              <w:t>II/A.  Nyilatkozat</w:t>
            </w:r>
          </w:p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</w:tr>
      <w:tr w:rsidR="00E903AE">
        <w:trPr>
          <w:trHeight w:val="2655"/>
        </w:trPr>
        <w:tc>
          <w:tcPr>
            <w:tcW w:w="98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both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>
              <w:rPr>
                <w:i/>
                <w:iCs/>
              </w:rPr>
              <w:t>i)</w:t>
            </w:r>
            <w:r>
              <w:t xml:space="preserve"> alpontja szerinti („A” jelű betétlap </w:t>
            </w:r>
            <w:proofErr w:type="gramStart"/>
            <w:r>
              <w:t>II./</w:t>
            </w:r>
            <w:proofErr w:type="gramEnd"/>
            <w:r>
              <w:t>7. sora) nettó árbevétel csökkentés miatti adócsökkenést választásom szerint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csekély </w:t>
            </w:r>
            <w:proofErr w:type="spellStart"/>
            <w:r>
              <w:rPr>
                <w:rFonts w:ascii="LiberationSerif" w:hAnsi="LiberationSerif" w:cs="LiberationSerif"/>
              </w:rPr>
              <w:t>összegû</w:t>
            </w:r>
            <w:proofErr w:type="spellEnd"/>
            <w:r>
              <w:rPr>
                <w:rFonts w:ascii="LiberationSerif" w:hAnsi="LiberationSerif" w:cs="LiberationSerif"/>
              </w:rPr>
              <w:t xml:space="preserve"> támogatásokról szóló rendelettel vagy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</w:t>
            </w:r>
            <w:proofErr w:type="spellStart"/>
            <w:r>
              <w:rPr>
                <w:rFonts w:ascii="LiberationSerif" w:hAnsi="LiberationSerif" w:cs="LiberationSerif"/>
              </w:rPr>
              <w:t>Szerzõdés</w:t>
            </w:r>
            <w:proofErr w:type="spellEnd"/>
            <w:r>
              <w:rPr>
                <w:rFonts w:ascii="LiberationSerif" w:hAnsi="LiberationSerif" w:cs="LiberationSerif"/>
              </w:rPr>
              <w:t xml:space="preserve"> 107. és 108. cikke alkalmazásában bizonyos támogatási kategóriáknak a </w:t>
            </w:r>
            <w:proofErr w:type="spellStart"/>
            <w:r>
              <w:rPr>
                <w:rFonts w:ascii="LiberationSerif" w:hAnsi="LiberationSerif" w:cs="LiberationSerif"/>
              </w:rPr>
              <w:t>belsõ</w:t>
            </w:r>
            <w:proofErr w:type="spellEnd"/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</w:t>
            </w:r>
            <w:proofErr w:type="spellStart"/>
            <w:r>
              <w:rPr>
                <w:rFonts w:ascii="LiberationSerif" w:hAnsi="LiberationSerif" w:cs="LiberationSerif"/>
              </w:rPr>
              <w:t>összeegyeztethetõvé</w:t>
            </w:r>
            <w:proofErr w:type="spellEnd"/>
            <w:r>
              <w:rPr>
                <w:rFonts w:ascii="LiberationSerif" w:hAnsi="LiberationSerif" w:cs="LiberationSerif"/>
              </w:rPr>
              <w:t xml:space="preserve"> nyilvánításáról szóló, 2014. június 17-i 651/2014/EU bizottsági rendelet hatályos szabályaival, különösen 55. cikkével 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826"/>
        </w:trPr>
        <w:tc>
          <w:tcPr>
            <w:tcW w:w="9599" w:type="dxa"/>
            <w:gridSpan w:val="6"/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„B” jelű betétlap</w:t>
            </w:r>
          </w:p>
          <w:p w:rsidR="00E903AE" w:rsidRDefault="00E903AE">
            <w:pPr>
              <w:jc w:val="center"/>
            </w:pPr>
          </w:p>
          <w:p w:rsidR="00E903AE" w:rsidRDefault="0049292F">
            <w:pPr>
              <w:jc w:val="center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Hitelintézetek és pénzügyi vállalkozások nettó árbevételének kiszámítása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8"/>
        </w:trPr>
        <w:tc>
          <w:tcPr>
            <w:tcW w:w="9599" w:type="dxa"/>
            <w:gridSpan w:val="6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640"/>
        </w:trPr>
        <w:tc>
          <w:tcPr>
            <w:tcW w:w="9599" w:type="dxa"/>
            <w:gridSpan w:val="6"/>
            <w:tcBorders>
              <w:bottom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 w:rsidTr="00440D85">
        <w:trPr>
          <w:trHeight w:val="104"/>
        </w:trPr>
        <w:tc>
          <w:tcPr>
            <w:tcW w:w="9599" w:type="dxa"/>
            <w:gridSpan w:val="6"/>
            <w:tcBorders>
              <w:top w:val="nil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[2+3+4+5+6+7-8-9]: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15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  <w:spacing w:before="120"/>
            </w:pPr>
            <w:r>
              <w:t>Kapott kamatok és kamatjellegű bevételek: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27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Egyéb pénzügyi szolgáltatás bevételei: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99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Nem pénzügyi és befektetési szolgáltatás nettó árbevétele: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96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Befektetési szolgáltatás 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Fizetett kamatok és kamatjellegű ráfordítások: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 xml:space="preserve">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477" w:type="dxa"/>
            <w:gridSpan w:val="2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„C” jelű betétlap</w:t>
            </w:r>
          </w:p>
          <w:p w:rsidR="00E903AE" w:rsidRDefault="00E903AE">
            <w:pPr>
              <w:jc w:val="center"/>
            </w:pPr>
          </w:p>
          <w:p w:rsidR="00E903AE" w:rsidRDefault="0049292F">
            <w:pPr>
              <w:jc w:val="center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Biztosítók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Pr="00440D85" w:rsidRDefault="00E903AE" w:rsidP="00440D8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 w:rsidP="008748E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 w:rsidP="00440D85"/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Biztosítástechnikai eredmény: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Nettó működési költség: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 xml:space="preserve">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„D” jelű betétlap</w:t>
            </w:r>
          </w:p>
          <w:p w:rsidR="00E903AE" w:rsidRDefault="00E903AE">
            <w:pPr>
              <w:jc w:val="center"/>
            </w:pPr>
          </w:p>
          <w:p w:rsidR="00E903AE" w:rsidRDefault="0049292F">
            <w:pPr>
              <w:jc w:val="center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Befektetési vállalkozások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 xml:space="preserve">□□□□□□□□□□ 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79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„E” JELŰ BETÉTLAP</w:t>
            </w: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</w:pPr>
            <w:r>
              <w:t xml:space="preserve">    </w:t>
            </w:r>
            <w:r w:rsidR="0049292F"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>
              <w:t>illetékességi területén</w:t>
            </w:r>
            <w:r>
              <w:br/>
              <w:t xml:space="preserve">  folytatott állandó jellegű iparűzési tevékenység utáni adókötelezettségről szóló helyi </w:t>
            </w:r>
            <w:r>
              <w:br/>
              <w:t xml:space="preserve">  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Az eladott áruk beszerzési értéke és a közvetített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szolgáltatások értéke figyelembe vehető együttes összege, kapcsolt vállalkozás adóalapja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39. § (6), (10) bekezdés szerinti kapcsolt vállalkozás tagja:</w:t>
            </w:r>
            <w:r>
              <w:rPr>
                <w:b/>
                <w:bCs/>
              </w:rPr>
              <w:t xml:space="preserve"> </w:t>
            </w:r>
            <w:r>
              <w:rPr>
                <w:sz w:val="48"/>
                <w:szCs w:val="48"/>
              </w:rPr>
              <w:t>□</w:t>
            </w: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ind w:left="720"/>
            </w:pP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nem tartozó vállalkozás esetén </w:t>
            </w:r>
            <w:r>
              <w:rPr>
                <w:i/>
                <w:iCs/>
              </w:rPr>
              <w:t>(forintban)</w:t>
            </w:r>
          </w:p>
          <w:p w:rsidR="00E903AE" w:rsidRDefault="00E903AE"/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Közvetített szolgáltatások értéke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és 2.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</w:t>
            </w:r>
            <w:r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b/>
                <w:bCs/>
                <w:i/>
                <w:iCs/>
              </w:rPr>
              <w:t xml:space="preserve">(500 M Ft-ot meg nem </w:t>
            </w:r>
            <w:r>
              <w:rPr>
                <w:b/>
                <w:bCs/>
                <w:i/>
                <w:iCs/>
              </w:rPr>
              <w:lastRenderedPageBreak/>
              <w:t xml:space="preserve">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</w:t>
            </w:r>
            <w:r>
              <w:rPr>
                <w:i/>
                <w:iCs/>
              </w:rPr>
              <w:t xml:space="preserve"> [legfeljebb 500 M Ft nettó </w:t>
            </w:r>
            <w:proofErr w:type="spellStart"/>
            <w:r>
              <w:rPr>
                <w:i/>
                <w:iCs/>
              </w:rPr>
              <w:t>árbevételű</w:t>
            </w:r>
            <w:proofErr w:type="spellEnd"/>
            <w:r>
              <w:rPr>
                <w:i/>
                <w:iCs/>
              </w:rPr>
              <w:t xml:space="preserve"> adózó esetén: (1+2), 500 M </w:t>
            </w:r>
            <w:proofErr w:type="gramStart"/>
            <w:r>
              <w:rPr>
                <w:i/>
                <w:iCs/>
              </w:rPr>
              <w:t>Ft  feletti</w:t>
            </w:r>
            <w:proofErr w:type="gramEnd"/>
            <w:r>
              <w:rPr>
                <w:i/>
                <w:iCs/>
              </w:rPr>
              <w:t xml:space="preserve"> nettó  árbevétel esetén: (3+4+5+6)]: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0"/>
              </w:numPr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tartozó kapcsolt vállalkozás esetén </w:t>
            </w: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eladott áruk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és 4.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>. 39. 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vállalkozásoknál 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 tagjai által összesen figyelembe vehető eladott áruk beszerzési értékének és a közvetített szolgáltatások értékének együttes összege </w:t>
            </w:r>
            <w:r>
              <w:rPr>
                <w:i/>
                <w:iCs/>
              </w:rPr>
              <w:t>[5+6+7+8]: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lastRenderedPageBreak/>
              <w:t xml:space="preserve">A kapcsolt vállalkozások összesített pozitív előjelű különbözete (adóalap) </w:t>
            </w:r>
            <w:r>
              <w:rPr>
                <w:i/>
                <w:iCs/>
              </w:rPr>
              <w:t>[1-2-9]: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Az adóalanyra jutó vállalkozási szintű adóalap </w:t>
            </w:r>
            <w:r>
              <w:br/>
            </w:r>
            <w:r>
              <w:rPr>
                <w:i/>
                <w:iCs/>
              </w:rPr>
              <w:t xml:space="preserve">[„E” jelű betétlap III. /10. sor x („A” vagy „B” vagy „C” vagy „D” jelű betétlap II/1. </w:t>
            </w:r>
            <w:proofErr w:type="gramStart"/>
            <w:r>
              <w:rPr>
                <w:i/>
                <w:iCs/>
              </w:rPr>
              <w:t>sor  ÷</w:t>
            </w:r>
            <w:proofErr w:type="gramEnd"/>
            <w:r>
              <w:rPr>
                <w:i/>
                <w:iCs/>
              </w:rPr>
              <w:t xml:space="preserve"> „E” jelű betétlap III./1. sor)]: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440D85" w:rsidRDefault="00440D85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9"/>
        <w:gridCol w:w="3838"/>
      </w:tblGrid>
      <w:tr w:rsidR="00E903AE" w:rsidTr="00440D85">
        <w:trPr>
          <w:trHeight w:val="826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„F” JELŰ BETÉTLAP</w:t>
            </w:r>
          </w:p>
          <w:p w:rsidR="00E903AE" w:rsidRDefault="0049292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 vállalkozási szintű adóalap megosztása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Az alkalmazott adóalap megosztási módszere</w:t>
            </w:r>
          </w:p>
          <w:p w:rsidR="00E903AE" w:rsidRDefault="00E903AE"/>
        </w:tc>
      </w:tr>
      <w:tr w:rsidR="00E903AE" w:rsidTr="00440D85">
        <w:trPr>
          <w:trHeight w:val="3271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személyi jellegű ráfordítással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eszközérték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2.2.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2.3.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2.4.2. pontja szerinti megosztás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692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 megosztás</w:t>
            </w:r>
          </w:p>
          <w:p w:rsidR="00E903AE" w:rsidRDefault="00E903AE"/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right"/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7-8. és a 11-16. sorok kivételével forintban)</w:t>
            </w:r>
          </w:p>
          <w:p w:rsidR="00E903AE" w:rsidRDefault="00E903AE">
            <w:pPr>
              <w:jc w:val="right"/>
              <w:rPr>
                <w:strike/>
              </w:rPr>
            </w:pP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rPr>
                <w:sz w:val="22"/>
              </w:rPr>
            </w:pPr>
            <w:r w:rsidRPr="000E5096">
              <w:rPr>
                <w:sz w:val="22"/>
              </w:rPr>
              <w:t xml:space="preserve">A vállalkozás által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összes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Az 1. sorból az önkormányzat illetékességi területén foglalkoztatottak után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vállalkozásnak az adóévben a székhely, telephely szerinti településekhez tartozó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összes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3. sorból az önkormányzat illetékességi területén figyelembeveendő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lastRenderedPageBreak/>
              <w:t>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>Az 5. sorból az önkormányzat illetékességi területére jutó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7. sorból az </w:t>
            </w:r>
            <w:proofErr w:type="gramStart"/>
            <w:r w:rsidRPr="000E5096">
              <w:rPr>
                <w:sz w:val="22"/>
              </w:rPr>
              <w:t>önkormányzat  illetékességi</w:t>
            </w:r>
            <w:proofErr w:type="gramEnd"/>
            <w:r w:rsidRPr="000E5096">
              <w:rPr>
                <w:sz w:val="22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Az építőipari tevékenységből [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52. § 24. pontja] származó, számviteli törvény szerinti értékesítés nettó árbevétele és az </w:t>
            </w:r>
            <w:proofErr w:type="spellStart"/>
            <w:r w:rsidRPr="000E5096">
              <w:rPr>
                <w:sz w:val="22"/>
              </w:rPr>
              <w:t>adóév</w:t>
            </w:r>
            <w:proofErr w:type="spellEnd"/>
            <w:r w:rsidRPr="000E5096">
              <w:rPr>
                <w:sz w:val="22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9. sorból az önkormányzat illetékességi területén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37. § (2) bekezdés </w:t>
            </w:r>
            <w:r w:rsidRPr="000E5096">
              <w:rPr>
                <w:i/>
                <w:iCs/>
                <w:sz w:val="22"/>
              </w:rPr>
              <w:t>b)</w:t>
            </w:r>
            <w:r w:rsidRPr="000E5096">
              <w:rPr>
                <w:sz w:val="22"/>
              </w:rPr>
              <w:t xml:space="preserve"> pont és (3) bekezdés szerint létrejött telephelyre jutó összeg: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vezetékes távközlési tevékenység szolgáltatási helyeinek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03AE" w:rsidRDefault="00E903AE"/>
          <w:p w:rsidR="00E903AE" w:rsidRDefault="00E903AE"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3AE" w:rsidRDefault="00E903AE"/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sectPr w:rsidR="00E903AE" w:rsidSect="00346786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680"/>
        <w:gridCol w:w="1021"/>
        <w:gridCol w:w="1023"/>
        <w:gridCol w:w="6846"/>
      </w:tblGrid>
      <w:tr w:rsidR="00E903A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„G” JELŰ BETÉTLAP</w:t>
            </w:r>
          </w:p>
          <w:p w:rsidR="00E903AE" w:rsidRDefault="0049292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túlfizetésről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I. 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Adóalany neve (cégneve): ________________________________________________________________________________________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 túlfizetés visszautalására szolgáló pénzforgalmi számlaszáma:</w:t>
            </w:r>
          </w:p>
          <w:p w:rsidR="00E903AE" w:rsidRDefault="00E903AE">
            <w:pPr>
              <w:ind w:left="720"/>
            </w:pPr>
            <w:r>
              <w:rPr>
                <w:sz w:val="48"/>
                <w:szCs w:val="48"/>
              </w:rPr>
              <w:t>□□□□-□□□□□□□□-□□□□□□□□-□□□□□□□□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II. Nyilatkozat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Nyilatkozom, hogy más adóhatóságnál nincs fennálló adótartozásom.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összegét később esedékes helyi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 forintot kérek visszatéríteni, a fennmaradó összeget később esedékes helyi</w:t>
            </w:r>
            <w:r>
              <w:rPr>
                <w:sz w:val="40"/>
                <w:szCs w:val="40"/>
              </w:rPr>
              <w:t xml:space="preserve"> </w:t>
            </w:r>
            <w:r>
              <w:t>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lastRenderedPageBreak/>
              <w:t xml:space="preserve">□ </w:t>
            </w:r>
            <w:r>
              <w:t>A túlfizetés teljes összegének visszatérítését kérem.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</w:tcBorders>
            <w:vAlign w:val="center"/>
          </w:tcPr>
          <w:p w:rsidR="00E903AE" w:rsidRDefault="00E903A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E903AE">
              <w:trPr>
                <w:trHeight w:val="765"/>
                <w:jc w:val="center"/>
              </w:trPr>
              <w:tc>
                <w:tcPr>
                  <w:tcW w:w="1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ind w:left="1113"/>
                    <w:rPr>
                      <w:b/>
                      <w:bCs/>
                    </w:rPr>
                  </w:pPr>
                </w:p>
                <w:p w:rsidR="00E903AE" w:rsidRDefault="00E903AE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 Más adónemben, hatóságnál nyilvántartott, lejárt esedékességű köztartozásra átvezetendő összegek</w:t>
                  </w:r>
                </w:p>
                <w:p w:rsidR="00E903AE" w:rsidRDefault="00E903AE">
                  <w:pPr>
                    <w:ind w:left="33"/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Köztartozást nyilvántartó </w:t>
                  </w:r>
                  <w:r>
                    <w:br/>
                    <w:t>intézmény megnevezése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 fajtája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Összeg (forint)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Köztartozáshoz tartozó pénzintézeti számlaszám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Intézmény által alkalmazott </w:t>
                  </w:r>
                  <w:r>
                    <w:br/>
                    <w:t>ügyfél azonosító szám</w:t>
                  </w: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______________________________________________</w:t>
            </w:r>
          </w:p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E903A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  <w:caps/>
              </w:rPr>
              <w:lastRenderedPageBreak/>
              <w:t>„</w:t>
            </w:r>
            <w:r>
              <w:rPr>
                <w:b/>
                <w:bCs/>
              </w:rPr>
              <w:t>H” JELŰ BETÉTLAP</w:t>
            </w:r>
          </w:p>
          <w:p w:rsidR="00E903AE" w:rsidRDefault="0049292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önkormányzat 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Önellenőrzési pótlék bevallása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_____________________________________________________________________________________________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Önellenőrzés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Adóalap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Adóösszeg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59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59"/>
              <w:jc w:val="center"/>
            </w:pPr>
            <w: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86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86"/>
              <w:jc w:val="center"/>
            </w:pPr>
            <w:r>
              <w:t>összege</w:t>
            </w:r>
          </w:p>
        </w:tc>
      </w:tr>
      <w:tr w:rsidR="00E903A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</w:t>
            </w:r>
          </w:p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</w:t>
            </w:r>
          </w:p>
          <w:p w:rsidR="00E903AE" w:rsidRDefault="00E903AE">
            <w:pPr>
              <w:jc w:val="center"/>
            </w:pPr>
            <w:r>
              <w:t>(meghatalmazottja) aláírása</w:t>
            </w:r>
          </w:p>
        </w:tc>
      </w:tr>
    </w:tbl>
    <w:p w:rsidR="00E903AE" w:rsidRDefault="00E903AE"/>
    <w:p w:rsidR="00E903AE" w:rsidRDefault="00E903AE">
      <w:pPr>
        <w:sectPr w:rsidR="00E903AE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E903AE">
        <w:trPr>
          <w:trHeight w:val="826"/>
          <w:jc w:val="center"/>
        </w:trPr>
        <w:tc>
          <w:tcPr>
            <w:tcW w:w="9854" w:type="dxa"/>
            <w:gridSpan w:val="8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„I” jelű betétlap</w:t>
            </w:r>
          </w:p>
          <w:p w:rsidR="00E903AE" w:rsidRDefault="00E903AE">
            <w:pPr>
              <w:jc w:val="center"/>
            </w:pPr>
          </w:p>
          <w:p w:rsidR="00E903AE" w:rsidRDefault="0049292F">
            <w:pPr>
              <w:jc w:val="center"/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éves beszámolóját az IFRS-ek alapján készítő vállalkozó részére</w:t>
            </w:r>
          </w:p>
        </w:tc>
      </w:tr>
      <w:tr w:rsidR="00E903AE">
        <w:trPr>
          <w:trHeight w:val="283"/>
          <w:jc w:val="center"/>
        </w:trPr>
        <w:tc>
          <w:tcPr>
            <w:tcW w:w="7323" w:type="dxa"/>
            <w:gridSpan w:val="7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2531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88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</w:tcBorders>
            <w:vAlign w:val="center"/>
          </w:tcPr>
          <w:p w:rsidR="00E903AE" w:rsidRDefault="00E903AE">
            <w:r>
              <w:t>Adószáma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  <w:jc w:val="center"/>
        </w:trPr>
        <w:tc>
          <w:tcPr>
            <w:tcW w:w="5344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510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right w:val="nil"/>
            </w:tcBorders>
          </w:tcPr>
          <w:p w:rsidR="00E903AE" w:rsidRDefault="00E903AE"/>
        </w:tc>
        <w:tc>
          <w:tcPr>
            <w:tcW w:w="3616" w:type="dxa"/>
            <w:gridSpan w:val="2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37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II/1.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40/C. §-a szerinti nettó árbevétel</w:t>
            </w:r>
          </w:p>
        </w:tc>
      </w:tr>
      <w:tr w:rsidR="00E903AE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Nettó árbevétel</w:t>
            </w:r>
          </w:p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spacing w:before="120"/>
              <w:ind w:left="714" w:hanging="357"/>
            </w:pPr>
            <w: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Más standardok által az IFRS 15 szerinti </w:t>
            </w:r>
            <w:proofErr w:type="spellStart"/>
            <w:r>
              <w:t>árbevételként</w:t>
            </w:r>
            <w:proofErr w:type="spellEnd"/>
            <w:r>
              <w:t xml:space="preserve"> elszámolni rendelt tételek: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60-65. bekezdés alapján elszámolt kamat: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ind w:right="-279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52. § 40. pontja szerinti közvetített szolgáltatásnak megfelelő ügylet keretében</w:t>
            </w:r>
          </w:p>
          <w:p w:rsidR="00E903AE" w:rsidRDefault="00E903AE">
            <w:pPr>
              <w:ind w:left="720" w:right="-279"/>
            </w:pPr>
            <w: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ind w:left="6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4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Pénzügyi lízing esetén a lízingbe adónál a lízing-futamidő kezdetekor megjelenített </w:t>
            </w:r>
            <w:r>
              <w:lastRenderedPageBreak/>
              <w:t>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Operatív lízingből származó árbevétel: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7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Jogdíjbevétel: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7"/>
          <w:jc w:val="center"/>
        </w:trPr>
        <w:tc>
          <w:tcPr>
            <w:tcW w:w="5208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ind w:left="720"/>
            </w:pPr>
            <w:r>
              <w:rPr>
                <w:i/>
                <w:iCs/>
              </w:rPr>
              <w:t>A 21. sorból:</w:t>
            </w:r>
          </w:p>
        </w:tc>
        <w:tc>
          <w:tcPr>
            <w:tcW w:w="4646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03AE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Az adóévet megelőző bármely adóévben figyelembe vett, a </w:t>
            </w:r>
            <w:proofErr w:type="spellStart"/>
            <w:r>
              <w:t>Htv</w:t>
            </w:r>
            <w:proofErr w:type="spellEnd"/>
            <w:r>
              <w:t xml:space="preserve">.  2016. december 31-ig hatályos (2) bekezdés </w:t>
            </w:r>
            <w:r>
              <w:rPr>
                <w:i/>
                <w:iCs/>
              </w:rPr>
              <w:t>k)</w:t>
            </w:r>
            <w:r>
              <w:t xml:space="preserve"> vagy a </w:t>
            </w:r>
            <w:r w:rsidR="0049292F">
              <w:t>2019</w:t>
            </w:r>
            <w:r>
              <w:t xml:space="preserve">. január 1-től hatályos (2) bekezdés </w:t>
            </w:r>
            <w:r>
              <w:rPr>
                <w:i/>
                <w:iCs/>
              </w:rPr>
              <w:t>m)</w:t>
            </w:r>
            <w: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294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II/2.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40/D. §-a szerinti nettó árbevétel</w:t>
            </w:r>
          </w:p>
        </w:tc>
      </w:tr>
      <w:tr w:rsidR="00E903AE">
        <w:trPr>
          <w:trHeight w:val="4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 xml:space="preserve">Nettó árbevétel </w:t>
            </w:r>
            <w:r>
              <w:rPr>
                <w:i/>
                <w:iCs/>
              </w:rPr>
              <w:t>[2+3+4+5+6+7+8-9-10-11+12+13]: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lastRenderedPageBreak/>
              <w:t>Kapott kamatként elszámolt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9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08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7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6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330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II/3.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40/E. §-a szerinti nettó árbevétel</w:t>
            </w:r>
          </w:p>
        </w:tc>
      </w:tr>
      <w:tr w:rsidR="00E903AE">
        <w:trPr>
          <w:trHeight w:val="2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>
              <w:t xml:space="preserve">Nettó árbevétel </w:t>
            </w:r>
            <w:r>
              <w:rPr>
                <w:i/>
                <w:iCs/>
              </w:rPr>
              <w:t>[2+3+4+5+6+7+8+9-10-11-12-13+14+15]: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Kapott kamatként elszámolt: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1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lastRenderedPageBreak/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8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Díjbevétel: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5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Megszűnt tevékenységből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5353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01" w:type="dxa"/>
            <w:gridSpan w:val="3"/>
            <w:tcBorders>
              <w:left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Eladott áruk beszerzési értéke </w:t>
            </w:r>
            <w:r>
              <w:rPr>
                <w:i/>
                <w:iCs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90"/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a)</w:t>
            </w:r>
            <w: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adóévet megelőző </w:t>
            </w:r>
            <w:proofErr w:type="spellStart"/>
            <w:r>
              <w:t>adóév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a </w:t>
            </w:r>
            <w:proofErr w:type="spellStart"/>
            <w:r>
              <w:t>Htv</w:t>
            </w:r>
            <w:proofErr w:type="spellEnd"/>
            <w:r>
              <w:t xml:space="preserve">. 40/F. § (2) bekezdés </w:t>
            </w:r>
            <w:r>
              <w:rPr>
                <w:i/>
                <w:iCs/>
              </w:rPr>
              <w:t>d)</w:t>
            </w:r>
            <w:r>
              <w:t xml:space="preserve"> pontja szerint a könyv szerinti érték növeléseként már figyelembe </w:t>
            </w:r>
            <w:r>
              <w:lastRenderedPageBreak/>
              <w:t>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IFRS 11 szerinti közös megállapodás alapján végzett tevékenység nettó </w:t>
            </w:r>
            <w:proofErr w:type="spellStart"/>
            <w:r>
              <w:t>elábé</w:t>
            </w:r>
            <w:proofErr w:type="spellEnd"/>
          </w:p>
          <w:p w:rsidR="00E903AE" w:rsidRDefault="00E903AE">
            <w:pPr>
              <w:ind w:left="720"/>
            </w:pPr>
            <w:r>
              <w:t>(+,-):*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Megszűnt tevékenységből származó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49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Anyagköltség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 xml:space="preserve">Anyagköltség </w:t>
            </w:r>
            <w:r>
              <w:rPr>
                <w:i/>
                <w:iCs/>
              </w:rPr>
              <w:t>[2+3-4+5+6]: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</w:pPr>
            <w: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4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IFRS 11 szerinti közös megállapodás alapján végzett tevékenység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07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Közvetített szolgáltatások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Közvetített szolgáltatások értéke</w:t>
            </w:r>
          </w:p>
          <w:p w:rsidR="00E903AE" w:rsidRDefault="00E903AE">
            <w:pPr>
              <w:ind w:left="720"/>
            </w:pPr>
            <w:r>
              <w:rPr>
                <w:i/>
                <w:iCs/>
              </w:rPr>
              <w:t>[2+3+4+5]: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3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lastRenderedPageBreak/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9"/>
              </w:numPr>
            </w:pPr>
            <w:r>
              <w:t>Az IFRS 11 szerinti közös megállapodás alapján végzett tevékenység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2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54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Alvállalkozói teljesítés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Alvállalkozói teljesítés értéke (2+3):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ind w:left="720"/>
              <w:rPr>
                <w:b/>
                <w:bCs/>
              </w:rPr>
            </w:pP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tcBorders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Áttérési különbözet az IFRS-ek első alkalmazásakor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4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Az áttérési különbözet összege </w:t>
            </w:r>
            <w:r>
              <w:rPr>
                <w:i/>
                <w:iCs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924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spacing w:after="60"/>
              <w:ind w:left="714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4"/>
              </w:numPr>
              <w:spacing w:after="60"/>
              <w:ind w:left="714" w:hanging="357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 xml:space="preserve">a) </w:t>
            </w:r>
            <w:r>
              <w:t>pont szerinti áttérési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a) pont </w:t>
            </w:r>
            <w:proofErr w:type="spellStart"/>
            <w:r>
              <w:rPr>
                <w:i/>
                <w:iCs/>
              </w:rPr>
              <w:t>aa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  <w:iCs/>
              </w:rPr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61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4"/>
              </w:numPr>
              <w:spacing w:after="6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>b)</w:t>
            </w:r>
            <w: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bb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9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</w:tcBorders>
          </w:tcPr>
          <w:p w:rsidR="00E903AE" w:rsidRDefault="00E903A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4501"/>
            </w:tblGrid>
            <w:tr w:rsidR="00E903AE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3AE" w:rsidRDefault="00E903AE">
                  <w:pPr>
                    <w:ind w:left="108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2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Áttérési különbözet az IFRS-ek számviteli politika változásakor</w:t>
                  </w:r>
                </w:p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right"/>
                    <w:rPr>
                      <w:i/>
                      <w:iCs/>
                      <w:sz w:val="48"/>
                      <w:szCs w:val="48"/>
                    </w:rPr>
                  </w:pPr>
                  <w:r>
                    <w:rPr>
                      <w:i/>
                      <w:iCs/>
                    </w:rPr>
                    <w:t>(forintban)</w:t>
                  </w:r>
                </w:p>
              </w:tc>
            </w:tr>
            <w:tr w:rsidR="00E903AE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rPr>
                      <w:b/>
                      <w:bCs/>
                    </w:rPr>
                  </w:pPr>
                  <w:r>
                    <w:t xml:space="preserve">Az áttérési különbözet összege </w:t>
                  </w:r>
                  <w:r>
                    <w:rPr>
                      <w:i/>
                      <w:iCs/>
                    </w:rPr>
                    <w:t>[2-3]</w:t>
                  </w:r>
                  <w:r>
                    <w:t xml:space="preserve"> (</w:t>
                  </w:r>
                  <w:proofErr w:type="gramStart"/>
                  <w:r>
                    <w:t>+,-</w:t>
                  </w:r>
                  <w:proofErr w:type="gramEnd"/>
                  <w: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spacing w:after="60"/>
                    <w:ind w:left="72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rPr>
                      <w:b/>
                      <w:bCs/>
                    </w:rPr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 xml:space="preserve">a) </w:t>
                  </w:r>
                  <w: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 § (3) bekezdés a) pont </w:t>
                  </w:r>
                  <w:proofErr w:type="spellStart"/>
                  <w:r>
                    <w:rPr>
                      <w:i/>
                      <w:iCs/>
                    </w:rPr>
                    <w:t>aa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ind w:left="714" w:hanging="357"/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>b)</w:t>
                  </w:r>
                  <w: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bb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3001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686"/>
          <w:jc w:val="center"/>
        </w:trPr>
        <w:tc>
          <w:tcPr>
            <w:tcW w:w="3001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ind w:right="-285"/>
        <w:jc w:val="right"/>
        <w:rPr>
          <w:i/>
          <w:iCs/>
        </w:rPr>
      </w:pPr>
    </w:p>
    <w:p w:rsidR="00E903AE" w:rsidRDefault="00E903AE">
      <w:pPr>
        <w:rPr>
          <w:i/>
          <w:iCs/>
        </w:rPr>
      </w:pPr>
      <w:r>
        <w:rPr>
          <w:i/>
          <w:iCs/>
        </w:rPr>
        <w:br w:type="page"/>
      </w:r>
    </w:p>
    <w:p w:rsidR="00E903AE" w:rsidRDefault="00E903AE">
      <w:pPr>
        <w:ind w:right="-285"/>
        <w:jc w:val="right"/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E903AE">
        <w:trPr>
          <w:trHeight w:val="1992"/>
        </w:trPr>
        <w:tc>
          <w:tcPr>
            <w:tcW w:w="9889" w:type="dxa"/>
            <w:gridSpan w:val="5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„J” jelű betétlap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49292F">
            <w:pPr>
              <w:jc w:val="center"/>
              <w:rPr>
                <w:b/>
                <w:bCs/>
                <w:caps/>
              </w:rPr>
            </w:pPr>
            <w:r>
              <w:t>2019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 közös őstermelői igazolvánnyal rendelkező adóalanyok és családi gazdaság adóalany tagjainak nyilatkozata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Nyilatkozat</w:t>
            </w:r>
          </w:p>
        </w:tc>
      </w:tr>
      <w:tr w:rsidR="00E903AE"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E903AE" w:rsidRDefault="00E903AE">
            <w:pPr>
              <w:pStyle w:val="Listaszerbekezds"/>
              <w:ind w:left="6804"/>
              <w:jc w:val="both"/>
            </w:pPr>
          </w:p>
          <w:p w:rsidR="00E903AE" w:rsidRDefault="00E903A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903AE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Adóalanyok adatai</w:t>
            </w:r>
          </w:p>
        </w:tc>
      </w:tr>
      <w:tr w:rsidR="00E903AE">
        <w:trPr>
          <w:trHeight w:val="1080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>
              <w:rPr>
                <w:sz w:val="48"/>
                <w:szCs w:val="48"/>
              </w:rPr>
              <w:t xml:space="preserve"> □□□□□□□□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E903AE" w:rsidRDefault="00E903AE">
            <w:pPr>
              <w:pStyle w:val="Listaszerbekezds"/>
            </w:pPr>
          </w:p>
        </w:tc>
      </w:tr>
      <w:tr w:rsidR="00E903AE">
        <w:trPr>
          <w:trHeight w:val="1531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73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16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709"/>
            </w:pPr>
          </w:p>
        </w:tc>
      </w:tr>
      <w:tr w:rsidR="00E903AE">
        <w:trPr>
          <w:trHeight w:val="475"/>
        </w:trPr>
        <w:tc>
          <w:tcPr>
            <w:tcW w:w="9889" w:type="dxa"/>
            <w:gridSpan w:val="5"/>
            <w:vAlign w:val="center"/>
          </w:tcPr>
          <w:p w:rsidR="00E903AE" w:rsidRDefault="00E903AE">
            <w:pPr>
              <w:pStyle w:val="Listaszerbekezds"/>
              <w:ind w:left="0"/>
            </w:pPr>
            <w:r>
              <w:rPr>
                <w:i/>
                <w:iCs/>
                <w:sz w:val="22"/>
                <w:szCs w:val="22"/>
              </w:rPr>
              <w:t>*4-nél több adóalany esetén egy másik „J” jelű lapot is ki kell tölteni!</w:t>
            </w:r>
          </w:p>
        </w:tc>
      </w:tr>
      <w:tr w:rsidR="00E903AE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3068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903AE">
        <w:tc>
          <w:tcPr>
            <w:tcW w:w="3068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helység</w:t>
            </w:r>
          </w:p>
        </w:tc>
        <w:tc>
          <w:tcPr>
            <w:tcW w:w="1652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év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hó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nap</w:t>
            </w:r>
          </w:p>
        </w:tc>
        <w:tc>
          <w:tcPr>
            <w:tcW w:w="3577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 w:rsidP="00AE3DD1">
      <w:pPr>
        <w:rPr>
          <w:sz w:val="28"/>
          <w:szCs w:val="28"/>
        </w:rPr>
      </w:pPr>
    </w:p>
    <w:sectPr w:rsidR="00E903AE" w:rsidSect="00E903AE">
      <w:footerReference w:type="default" r:id="rId9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05" w:rsidRDefault="00CB7B05">
      <w:r>
        <w:separator/>
      </w:r>
    </w:p>
  </w:endnote>
  <w:endnote w:type="continuationSeparator" w:id="0">
    <w:p w:rsidR="00CB7B05" w:rsidRDefault="00CB7B05">
      <w:r>
        <w:continuationSeparator/>
      </w:r>
    </w:p>
  </w:endnote>
  <w:endnote w:type="continuationNotice" w:id="1">
    <w:p w:rsidR="00CB7B05" w:rsidRDefault="00CB7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6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22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05" w:rsidRDefault="00CB7B05">
      <w:r>
        <w:separator/>
      </w:r>
    </w:p>
  </w:footnote>
  <w:footnote w:type="continuationSeparator" w:id="0">
    <w:p w:rsidR="00CB7B05" w:rsidRDefault="00CB7B05">
      <w:r>
        <w:continuationSeparator/>
      </w:r>
    </w:p>
  </w:footnote>
  <w:footnote w:type="continuationNotice" w:id="1">
    <w:p w:rsidR="00CB7B05" w:rsidRDefault="00CB7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1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3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9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56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8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0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72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44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16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8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0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58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/>
        <w:iCs/>
        <w:color w:val="00000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7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bCs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6B2833"/>
    <w:multiLevelType w:val="hybridMultilevel"/>
    <w:tmpl w:val="9A2ABC3C"/>
    <w:lvl w:ilvl="0" w:tplc="040EC9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/>
        <w:iCs/>
      </w:rPr>
    </w:lvl>
  </w:abstractNum>
  <w:abstractNum w:abstractNumId="9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ascii="Times New Roman" w:hAnsi="Times New Roman" w:cs="Times New Roman" w:hint="default"/>
      </w:rPr>
    </w:lvl>
  </w:abstractNum>
  <w:abstractNum w:abstractNumId="99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87"/>
  </w:num>
  <w:num w:numId="2">
    <w:abstractNumId w:val="0"/>
  </w:num>
  <w:num w:numId="3">
    <w:abstractNumId w:val="77"/>
  </w:num>
  <w:num w:numId="4">
    <w:abstractNumId w:val="15"/>
  </w:num>
  <w:num w:numId="5">
    <w:abstractNumId w:val="85"/>
  </w:num>
  <w:num w:numId="6">
    <w:abstractNumId w:val="6"/>
  </w:num>
  <w:num w:numId="7">
    <w:abstractNumId w:val="94"/>
  </w:num>
  <w:num w:numId="8">
    <w:abstractNumId w:val="72"/>
  </w:num>
  <w:num w:numId="9">
    <w:abstractNumId w:val="56"/>
  </w:num>
  <w:num w:numId="10">
    <w:abstractNumId w:val="89"/>
  </w:num>
  <w:num w:numId="11">
    <w:abstractNumId w:val="76"/>
  </w:num>
  <w:num w:numId="12">
    <w:abstractNumId w:val="99"/>
  </w:num>
  <w:num w:numId="13">
    <w:abstractNumId w:val="41"/>
  </w:num>
  <w:num w:numId="14">
    <w:abstractNumId w:val="8"/>
  </w:num>
  <w:num w:numId="15">
    <w:abstractNumId w:val="53"/>
  </w:num>
  <w:num w:numId="16">
    <w:abstractNumId w:val="75"/>
  </w:num>
  <w:num w:numId="17">
    <w:abstractNumId w:val="83"/>
  </w:num>
  <w:num w:numId="18">
    <w:abstractNumId w:val="88"/>
  </w:num>
  <w:num w:numId="19">
    <w:abstractNumId w:val="1"/>
  </w:num>
  <w:num w:numId="20">
    <w:abstractNumId w:val="60"/>
  </w:num>
  <w:num w:numId="21">
    <w:abstractNumId w:val="24"/>
  </w:num>
  <w:num w:numId="22">
    <w:abstractNumId w:val="39"/>
  </w:num>
  <w:num w:numId="23">
    <w:abstractNumId w:val="21"/>
  </w:num>
  <w:num w:numId="24">
    <w:abstractNumId w:val="29"/>
  </w:num>
  <w:num w:numId="25">
    <w:abstractNumId w:val="90"/>
  </w:num>
  <w:num w:numId="26">
    <w:abstractNumId w:val="46"/>
  </w:num>
  <w:num w:numId="27">
    <w:abstractNumId w:val="40"/>
  </w:num>
  <w:num w:numId="28">
    <w:abstractNumId w:val="14"/>
  </w:num>
  <w:num w:numId="29">
    <w:abstractNumId w:val="35"/>
  </w:num>
  <w:num w:numId="30">
    <w:abstractNumId w:val="48"/>
  </w:num>
  <w:num w:numId="31">
    <w:abstractNumId w:val="19"/>
  </w:num>
  <w:num w:numId="32">
    <w:abstractNumId w:val="18"/>
  </w:num>
  <w:num w:numId="33">
    <w:abstractNumId w:val="55"/>
  </w:num>
  <w:num w:numId="34">
    <w:abstractNumId w:val="27"/>
  </w:num>
  <w:num w:numId="35">
    <w:abstractNumId w:val="20"/>
  </w:num>
  <w:num w:numId="36">
    <w:abstractNumId w:val="84"/>
  </w:num>
  <w:num w:numId="37">
    <w:abstractNumId w:val="92"/>
  </w:num>
  <w:num w:numId="38">
    <w:abstractNumId w:val="96"/>
  </w:num>
  <w:num w:numId="39">
    <w:abstractNumId w:val="97"/>
  </w:num>
  <w:num w:numId="40">
    <w:abstractNumId w:val="59"/>
  </w:num>
  <w:num w:numId="41">
    <w:abstractNumId w:val="44"/>
  </w:num>
  <w:num w:numId="42">
    <w:abstractNumId w:val="98"/>
  </w:num>
  <w:num w:numId="43">
    <w:abstractNumId w:val="68"/>
  </w:num>
  <w:num w:numId="44">
    <w:abstractNumId w:val="37"/>
  </w:num>
  <w:num w:numId="45">
    <w:abstractNumId w:val="16"/>
  </w:num>
  <w:num w:numId="46">
    <w:abstractNumId w:val="91"/>
  </w:num>
  <w:num w:numId="47">
    <w:abstractNumId w:val="65"/>
  </w:num>
  <w:num w:numId="48">
    <w:abstractNumId w:val="34"/>
  </w:num>
  <w:num w:numId="49">
    <w:abstractNumId w:val="62"/>
  </w:num>
  <w:num w:numId="50">
    <w:abstractNumId w:val="17"/>
  </w:num>
  <w:num w:numId="51">
    <w:abstractNumId w:val="80"/>
  </w:num>
  <w:num w:numId="52">
    <w:abstractNumId w:val="10"/>
  </w:num>
  <w:num w:numId="53">
    <w:abstractNumId w:val="58"/>
  </w:num>
  <w:num w:numId="54">
    <w:abstractNumId w:val="100"/>
  </w:num>
  <w:num w:numId="55">
    <w:abstractNumId w:val="70"/>
  </w:num>
  <w:num w:numId="56">
    <w:abstractNumId w:val="32"/>
  </w:num>
  <w:num w:numId="57">
    <w:abstractNumId w:val="61"/>
  </w:num>
  <w:num w:numId="58">
    <w:abstractNumId w:val="4"/>
  </w:num>
  <w:num w:numId="59">
    <w:abstractNumId w:val="9"/>
  </w:num>
  <w:num w:numId="60">
    <w:abstractNumId w:val="13"/>
  </w:num>
  <w:num w:numId="61">
    <w:abstractNumId w:val="64"/>
  </w:num>
  <w:num w:numId="62">
    <w:abstractNumId w:val="42"/>
  </w:num>
  <w:num w:numId="63">
    <w:abstractNumId w:val="30"/>
  </w:num>
  <w:num w:numId="64">
    <w:abstractNumId w:val="22"/>
  </w:num>
  <w:num w:numId="65">
    <w:abstractNumId w:val="45"/>
  </w:num>
  <w:num w:numId="66">
    <w:abstractNumId w:val="49"/>
  </w:num>
  <w:num w:numId="67">
    <w:abstractNumId w:val="95"/>
  </w:num>
  <w:num w:numId="68">
    <w:abstractNumId w:val="7"/>
  </w:num>
  <w:num w:numId="69">
    <w:abstractNumId w:val="81"/>
  </w:num>
  <w:num w:numId="70">
    <w:abstractNumId w:val="66"/>
  </w:num>
  <w:num w:numId="71">
    <w:abstractNumId w:val="11"/>
  </w:num>
  <w:num w:numId="72">
    <w:abstractNumId w:val="12"/>
  </w:num>
  <w:num w:numId="73">
    <w:abstractNumId w:val="51"/>
  </w:num>
  <w:num w:numId="74">
    <w:abstractNumId w:val="47"/>
  </w:num>
  <w:num w:numId="75">
    <w:abstractNumId w:val="50"/>
  </w:num>
  <w:num w:numId="76">
    <w:abstractNumId w:val="54"/>
  </w:num>
  <w:num w:numId="77">
    <w:abstractNumId w:val="28"/>
  </w:num>
  <w:num w:numId="78">
    <w:abstractNumId w:val="36"/>
  </w:num>
  <w:num w:numId="79">
    <w:abstractNumId w:val="67"/>
  </w:num>
  <w:num w:numId="80">
    <w:abstractNumId w:val="79"/>
  </w:num>
  <w:num w:numId="81">
    <w:abstractNumId w:val="101"/>
  </w:num>
  <w:num w:numId="82">
    <w:abstractNumId w:val="57"/>
  </w:num>
  <w:num w:numId="83">
    <w:abstractNumId w:val="5"/>
  </w:num>
  <w:num w:numId="84">
    <w:abstractNumId w:val="23"/>
  </w:num>
  <w:num w:numId="85">
    <w:abstractNumId w:val="73"/>
  </w:num>
  <w:num w:numId="86">
    <w:abstractNumId w:val="33"/>
  </w:num>
  <w:num w:numId="87">
    <w:abstractNumId w:val="69"/>
  </w:num>
  <w:num w:numId="88">
    <w:abstractNumId w:val="3"/>
  </w:num>
  <w:num w:numId="89">
    <w:abstractNumId w:val="93"/>
  </w:num>
  <w:num w:numId="90">
    <w:abstractNumId w:val="43"/>
  </w:num>
  <w:num w:numId="91">
    <w:abstractNumId w:val="31"/>
  </w:num>
  <w:num w:numId="92">
    <w:abstractNumId w:val="74"/>
  </w:num>
  <w:num w:numId="93">
    <w:abstractNumId w:val="86"/>
  </w:num>
  <w:num w:numId="94">
    <w:abstractNumId w:val="38"/>
  </w:num>
  <w:num w:numId="95">
    <w:abstractNumId w:val="25"/>
  </w:num>
  <w:num w:numId="96">
    <w:abstractNumId w:val="78"/>
  </w:num>
  <w:num w:numId="97">
    <w:abstractNumId w:val="26"/>
  </w:num>
  <w:num w:numId="98">
    <w:abstractNumId w:val="63"/>
  </w:num>
  <w:num w:numId="99">
    <w:abstractNumId w:val="2"/>
  </w:num>
  <w:num w:numId="100">
    <w:abstractNumId w:val="71"/>
  </w:num>
  <w:num w:numId="101">
    <w:abstractNumId w:val="52"/>
  </w:num>
  <w:num w:numId="102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04138B"/>
    <w:rsid w:val="000E5096"/>
    <w:rsid w:val="001625E0"/>
    <w:rsid w:val="001B3E30"/>
    <w:rsid w:val="001F5F00"/>
    <w:rsid w:val="002B420E"/>
    <w:rsid w:val="002D246F"/>
    <w:rsid w:val="002D3507"/>
    <w:rsid w:val="00336F7E"/>
    <w:rsid w:val="00346786"/>
    <w:rsid w:val="00357837"/>
    <w:rsid w:val="003C2E2E"/>
    <w:rsid w:val="00440D85"/>
    <w:rsid w:val="0049292F"/>
    <w:rsid w:val="00495B89"/>
    <w:rsid w:val="00504785"/>
    <w:rsid w:val="00541062"/>
    <w:rsid w:val="0055756E"/>
    <w:rsid w:val="0065152E"/>
    <w:rsid w:val="007226F7"/>
    <w:rsid w:val="00866F25"/>
    <w:rsid w:val="008748E5"/>
    <w:rsid w:val="009373DA"/>
    <w:rsid w:val="00AE3DD1"/>
    <w:rsid w:val="00B02EA6"/>
    <w:rsid w:val="00CA2D15"/>
    <w:rsid w:val="00CB7B05"/>
    <w:rsid w:val="00CC7D76"/>
    <w:rsid w:val="00E329A4"/>
    <w:rsid w:val="00E903AE"/>
    <w:rsid w:val="00EB0F06"/>
    <w:rsid w:val="00F93E7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75FA67-D95F-4B5A-9439-DBFECBB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C49-C0E1-4556-85B7-F324160E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4954</Words>
  <Characters>34189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Ebes Polgármesteri Hivatal</cp:lastModifiedBy>
  <cp:revision>3</cp:revision>
  <cp:lastPrinted>2017-12-20T09:48:00Z</cp:lastPrinted>
  <dcterms:created xsi:type="dcterms:W3CDTF">2019-01-02T10:20:00Z</dcterms:created>
  <dcterms:modified xsi:type="dcterms:W3CDTF">2019-01-02T10:21:00Z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